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theme/theme1.xml" ContentType="application/vnd.openxmlformats-officedocument.them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line="20" w:lineRule="exact"/>
      </w:pPr>
      <w:r>
        <w:drawing>
          <wp:anchor distT="0" distB="0" distL="0" distR="0" simplePos="0" allowOverlap="1" behindDoc="1" locked="0" layoutInCell="1" relativeHeight="10706100">
            <wp:simplePos x="0" y="0"/>
            <wp:positionH relativeFrom="page">
              <wp:posOffset>0</wp:posOffset>
            </wp:positionH>
            <wp:positionV relativeFrom="page">
              <wp:posOffset>0</wp:posOffset>
            </wp:positionV>
            <wp:extent cx="7572375" cy="10706100"/>
            <wp:effectExtent t="0" r="0" b="0" l="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7572375" cy="10706100"/>
                    </a:xfrm>
                    <a:prstGeom prst="rect">
                      <a:avLst/>
                    </a:prstGeom>
                  </pic:spPr>
                </pic:pic>
              </a:graphicData>
            </a:graphic>
          </wp:anchor>
        </w:drawing>
      </w:r>
    </w:p>
    <w:p>
      <w:pPr>
        <w:spacing w:after="0" w:before="0" w:line="1500" w:lineRule="exact"/>
      </w:pPr>
      <w:r>
        <w:rPr>
          <w:rFonts w:ascii="Plus Jakarta Sans" w:cs="Plus Jakarta Sans" w:eastAsia="Plus Jakarta Sans" w:hAnsi="Plus Jakarta Sans"/>
          <w:color w:val="16181A"/>
          <w:sz w:val="2"/>
          <w:szCs w:val="2"/>
        </w:rPr>
        <w:t xml:space="preserve"/>
      </w:r>
    </w:p>
    <w:p>
      <w:pPr>
        <w:keepNext/>
        <w:spacing w:after="0" w:before="0" w:line="240" w:lineRule="auto"/>
        <w:jc w:val="left"/>
      </w:pPr>
      <w:r>
        <w:drawing>
          <wp:inline distT="0" distB="0" distL="0" distR="0">
            <wp:extent cx="723900" cy="7239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723900" cy="723900"/>
                    </a:xfrm>
                    <a:prstGeom prst="rect">
                      <a:avLst/>
                    </a:prstGeom>
                  </pic:spPr>
                </pic:pic>
              </a:graphicData>
            </a:graphic>
          </wp:inline>
        </w:drawing>
      </w:r>
    </w:p>
    <w:p>
      <w:pPr>
        <w:spacing w:after="0" w:before="0" w:line="900" w:lineRule="exact"/>
      </w:pPr>
      <w:r>
        <w:rPr>
          <w:rFonts w:ascii="Plus Jakarta Sans" w:cs="Plus Jakarta Sans" w:eastAsia="Plus Jakarta Sans" w:hAnsi="Plus Jakarta Sans"/>
          <w:color w:val="16181A"/>
          <w:sz w:val="2"/>
          <w:szCs w:val="2"/>
        </w:rPr>
        <w:t xml:space="preserve"/>
      </w:r>
    </w:p>
    <w:p>
      <w:pPr>
        <w:pBdr>
          <w:bottom w:val="single" w:color="D8574D" w:sz="12" w:space="1"/>
        </w:pBdr>
        <w:spacing w:after="260" w:before="0" w:line="40" w:lineRule="exact"/>
        <w:ind w:right="8512"/>
      </w:pPr>
      <w:r>
        <w:rPr>
          <w:rFonts w:ascii="Plus Jakarta Sans" w:cs="Plus Jakarta Sans" w:eastAsia="Plus Jakarta Sans" w:hAnsi="Plus Jakarta Sans"/>
          <w:color w:val="16181A"/>
          <w:sz w:val="2"/>
          <w:szCs w:val="2"/>
        </w:rPr>
        <w:t xml:space="preserve"/>
      </w:r>
    </w:p>
    <w:p>
      <w:pPr>
        <w:spacing w:after="200" w:before="0" w:line="240" w:lineRule="auto"/>
      </w:pPr>
      <w:r>
        <w:rPr>
          <w:rFonts w:ascii="Geist Mono" w:cs="Geist Mono" w:eastAsia="Geist Mono" w:hAnsi="Geist Mono"/>
          <w:color w:val="9AA0A6"/>
          <w:spacing w:val="28"/>
          <w:sz w:val="15"/>
          <w:szCs w:val="15"/>
        </w:rPr>
        <w:t xml:space="preserve">DIE DEUTSCHE BAUSOFTWARE-SUITE</w:t>
      </w:r>
    </w:p>
    <w:p>
      <w:pPr>
        <w:spacing w:after="160" w:before="0" w:line="1000" w:lineRule="exact"/>
      </w:pPr>
      <w:r>
        <w:rPr>
          <w:rFonts w:ascii="Plus Jakarta Sans ExtraBold" w:cs="Plus Jakarta Sans ExtraBold" w:eastAsia="Plus Jakarta Sans ExtraBold" w:hAnsi="Plus Jakarta Sans ExtraBold"/>
          <w:color w:val="F2F4F6"/>
          <w:spacing w:val="-44"/>
          <w:sz w:val="96"/>
          <w:szCs w:val="96"/>
        </w:rPr>
        <w:t xml:space="preserve">Design Language</w:t>
      </w:r>
    </w:p>
    <w:p>
      <w:pPr>
        <w:spacing w:after="0" w:before="0" w:line="340" w:lineRule="auto"/>
      </w:pPr>
      <w:r>
        <w:rPr>
          <w:rFonts w:ascii="Plus Jakarta Sans" w:cs="Plus Jakarta Sans" w:eastAsia="Plus Jakarta Sans" w:hAnsi="Plus Jakarta Sans"/>
          <w:color w:val="9AA0A6"/>
          <w:spacing w:val="-6"/>
          <w:sz w:val="26"/>
          <w:szCs w:val="26"/>
        </w:rPr>
        <w:t xml:space="preserve">One mark. One system.</w:t>
      </w:r>
    </w:p>
    <w:p>
      <w:pPr>
        <w:spacing w:after="0" w:before="0" w:line="2600" w:lineRule="exact"/>
      </w:pPr>
      <w:r>
        <w:rPr>
          <w:rFonts w:ascii="Plus Jakarta Sans" w:cs="Plus Jakarta Sans" w:eastAsia="Plus Jakarta Sans" w:hAnsi="Plus Jakarta Sans"/>
          <w:color w:val="16181A"/>
          <w:sz w:val="2"/>
          <w:szCs w:val="2"/>
        </w:rPr>
        <w:t xml:space="preserve"/>
      </w:r>
    </w:p>
    <w:p>
      <w:pPr>
        <w:pBdr>
          <w:bottom w:val="single" w:color="2A2E33" w:sz="4" w:space="1"/>
        </w:pBdr>
        <w:spacing w:after="200" w:before="0" w:line="40" w:lineRule="exact"/>
      </w:pPr>
      <w:r>
        <w:rPr>
          <w:rFonts w:ascii="Plus Jakarta Sans" w:cs="Plus Jakarta Sans" w:eastAsia="Plus Jakarta Sans" w:hAnsi="Plus Jakarta Sans"/>
          <w:color w:val="16181A"/>
          <w:sz w:val="2"/>
          <w:szCs w:val="2"/>
        </w:rPr>
        <w:t xml:space="preserve"/>
      </w:r>
    </w:p>
    <w:p>
      <w:pPr>
        <w:spacing w:after="160" w:before="0" w:line="460" w:lineRule="auto"/>
      </w:pPr>
      <w:r>
        <w:rPr>
          <w:rFonts w:ascii="Plus Jakarta Sans ExtraBold" w:cs="Plus Jakarta Sans ExtraBold" w:eastAsia="Plus Jakarta Sans ExtraBold" w:hAnsi="Plus Jakarta Sans ExtraBold"/>
          <w:color w:val="F2F4F6"/>
          <w:spacing w:val="-12"/>
          <w:sz w:val="40"/>
          <w:szCs w:val="40"/>
        </w:rPr>
        <w:t xml:space="preserve">BauLynq</w:t>
      </w:r>
    </w:p>
    <w:p>
      <w:pPr>
        <w:spacing w:after="130" w:before="0" w:line="280" w:lineRule="auto"/>
      </w:pPr>
      <w:r>
        <w:rPr>
          <w:rFonts w:ascii="Geist Mono" w:cs="Geist Mono" w:eastAsia="Geist Mono" w:hAnsi="Geist Mono"/>
          <w:color w:val="F2F4F6"/>
          <w:spacing w:val="4"/>
          <w:sz w:val="20"/>
          <w:szCs w:val="20"/>
        </w:rPr>
        <w:t xml:space="preserve">Version 2.0  ·  29.07.2026</w:t>
      </w:r>
    </w:p>
    <w:p>
      <w:pPr>
        <w:spacing w:after="90" w:before="0" w:line="260" w:lineRule="auto"/>
      </w:pPr>
      <w:r>
        <w:rPr>
          <w:rFonts w:ascii="Geist Mono" w:cs="Geist Mono" w:eastAsia="Geist Mono" w:hAnsi="Geist Mono"/>
          <w:color w:val="9AA0A6"/>
          <w:sz w:val="15"/>
          <w:szCs w:val="15"/>
        </w:rPr>
        <w:t xml:space="preserve">Plus Jakarta Sans + Geist Mono  ·  SIL OFL 1.1  ·  WCAG 2.2 AA  ·  Light + Dark</w:t>
      </w:r>
    </w:p>
    <w:p>
      <w:pPr>
        <w:spacing w:after="0" w:before="0" w:line="260" w:lineRule="auto"/>
      </w:pPr>
      <w:r>
        <w:rPr>
          <w:rFonts w:ascii="Geist Mono" w:cs="Geist Mono" w:eastAsia="Geist Mono" w:hAnsi="Geist Mono"/>
          <w:color w:val="62676D"/>
          <w:sz w:val="15"/>
          <w:szCs w:val="15"/>
        </w:rPr>
        <w:t xml:space="preserve">Mohamad El Ejel  ·  www.baulynq.com</w:t>
      </w:r>
    </w:p>
    <w:p>
      <w:pPr>
        <w:sectPr>
          <w:pgSz w:w="11906" w:h="16838" w:orient="portrait"/>
          <w:pgMar w:top="2948" w:right="1247" w:bottom="1247" w:left="1247" w:header="0" w:footer="0" w:gutter="0"/>
          <w:pgNumType/>
          <w:docGrid w:linePitch="360"/>
        </w:sectPr>
      </w:pPr>
    </w:p>
    <w:p>
      <w:pPr>
        <w:keepNext/>
        <w:spacing w:after="140" w:before="0" w:line="240" w:lineRule="auto"/>
      </w:pPr>
      <w:r>
        <w:rPr>
          <w:rFonts w:ascii="Geist Mono" w:cs="Geist Mono" w:eastAsia="Geist Mono" w:hAnsi="Geist Mono"/>
          <w:color w:val="8E2222"/>
          <w:spacing w:val="26"/>
          <w:sz w:val="14"/>
          <w:szCs w:val="14"/>
        </w:rPr>
        <w:t xml:space="preserve">CONTENTS</w:t>
      </w:r>
    </w:p>
    <w:p>
      <w:pPr>
        <w:spacing w:after="60" w:before="0" w:line="340" w:lineRule="auto"/>
      </w:pPr>
      <w:r>
        <w:rPr>
          <w:rFonts w:ascii="Plus Jakarta Sans ExtraBold" w:cs="Plus Jakarta Sans ExtraBold" w:eastAsia="Plus Jakarta Sans ExtraBold" w:hAnsi="Plus Jakarta Sans ExtraBold"/>
          <w:color w:val="16181A"/>
          <w:spacing w:val="-24"/>
          <w:sz w:val="40"/>
          <w:szCs w:val="40"/>
        </w:rPr>
        <w:t xml:space="preserve">Table of contents</w:t>
      </w:r>
    </w:p>
    <w:p>
      <w:pPr>
        <w:pBdr>
          <w:bottom w:val="single" w:color="E2E3E0" w:sz="6" w:space="1"/>
        </w:pBdr>
        <w:spacing w:after="220" w:before="40" w:line="40" w:lineRule="exact"/>
      </w:pPr>
      <w:r>
        <w:rPr>
          <w:rFonts w:ascii="Plus Jakarta Sans" w:cs="Plus Jakarta Sans" w:eastAsia="Plus Jakarta Sans" w:hAnsi="Plus Jakarta Sans"/>
          <w:color w:val="16181A"/>
          <w:sz w:val="2"/>
          <w:szCs w:val="2"/>
        </w:rPr>
        <w:t xml:space="preserve"/>
      </w:r>
    </w:p>
    <w:p>
      <w:pPr>
        <w:pStyle w:val="TOC1"/>
        <w:tabs>
          <w:tab w:val="right" w:pos="9412"/>
        </w:tabs>
        <w:spacing w:after="20" w:before="180" w:line="260" w:lineRule="auto"/>
      </w:pPr>
      <w:r>
        <w:fldChar w:fldCharType="begin" w:dirty="true"/>
      </w:r>
      <w:r>
        <w:instrText xml:space="preserve">TOC \o "1-2" \h \z \u </w:instrText>
      </w:r>
      <w:r>
        <w:fldChar w:fldCharType="separate"/>
      </w:r>
      <w:hyperlink w:history="1" w:anchor="_Toc9000001">
        <w:r>
          <w:rPr>
            <w:rFonts w:ascii="Plus Jakarta Sans SemiBold" w:cs="Plus Jakarta Sans SemiBold" w:eastAsia="Plus Jakarta Sans SemiBold" w:hAnsi="Plus Jakarta Sans SemiBold"/>
            <w:color w:val="16181A"/>
            <w:spacing w:val="-3"/>
            <w:sz w:val="20"/>
            <w:szCs w:val="20"/>
          </w:rPr>
          <w:t xml:space="preserve">01  The idea</w:t>
        </w:r>
        <w:r>
          <w:tab/>
        </w:r>
        <w:r>
          <w:rPr>
            <w:rFonts w:ascii="Geist Mono" w:cs="Geist Mono" w:eastAsia="Geist Mono" w:hAnsi="Geist Mono"/>
            <w:color w:val="16181A"/>
            <w:sz w:val="16"/>
            <w:szCs w:val="16"/>
          </w:rPr>
          <w:t xml:space="preserve">3</w:t>
        </w:r>
      </w:hyperlink>
    </w:p>
    <w:p>
      <w:pPr>
        <w:pStyle w:val="TOC2"/>
        <w:tabs>
          <w:tab w:val="right" w:pos="9412"/>
        </w:tabs>
        <w:spacing w:after="20" w:before="0" w:line="250" w:lineRule="auto"/>
        <w:ind w:left="340"/>
      </w:pPr>
      <w:hyperlink w:history="1" w:anchor="_Toc9000002">
        <w:r>
          <w:rPr>
            <w:rFonts w:ascii="Plus Jakarta Sans" w:cs="Plus Jakarta Sans" w:eastAsia="Plus Jakarta Sans" w:hAnsi="Plus Jakarta Sans"/>
            <w:color w:val="53575B"/>
            <w:sz w:val="17"/>
            <w:szCs w:val="17"/>
          </w:rPr>
          <w:t xml:space="preserve">Four principles</w:t>
        </w:r>
        <w:r>
          <w:tab/>
        </w:r>
        <w:r>
          <w:rPr>
            <w:rFonts w:ascii="Geist Mono" w:cs="Geist Mono" w:eastAsia="Geist Mono" w:hAnsi="Geist Mono"/>
            <w:color w:val="53575B"/>
            <w:sz w:val="15"/>
            <w:szCs w:val="15"/>
          </w:rPr>
          <w:t xml:space="preserve">3</w:t>
        </w:r>
      </w:hyperlink>
    </w:p>
    <w:p>
      <w:pPr>
        <w:pStyle w:val="TOC2"/>
        <w:tabs>
          <w:tab w:val="right" w:pos="9412"/>
        </w:tabs>
        <w:spacing w:after="20" w:before="0" w:line="250" w:lineRule="auto"/>
        <w:ind w:left="340"/>
      </w:pPr>
      <w:hyperlink w:history="1" w:anchor="_Toc9000003">
        <w:r>
          <w:rPr>
            <w:rFonts w:ascii="Plus Jakarta Sans" w:cs="Plus Jakarta Sans" w:eastAsia="Plus Jakarta Sans" w:hAnsi="Plus Jakarta Sans"/>
            <w:color w:val="53575B"/>
            <w:sz w:val="17"/>
            <w:szCs w:val="17"/>
          </w:rPr>
          <w:t xml:space="preserve">What a good BauLynq table looks like</w:t>
        </w:r>
        <w:r>
          <w:tab/>
        </w:r>
        <w:r>
          <w:rPr>
            <w:rFonts w:ascii="Geist Mono" w:cs="Geist Mono" w:eastAsia="Geist Mono" w:hAnsi="Geist Mono"/>
            <w:color w:val="53575B"/>
            <w:sz w:val="15"/>
            <w:szCs w:val="15"/>
          </w:rPr>
          <w:t xml:space="preserve">3</w:t>
        </w:r>
      </w:hyperlink>
    </w:p>
    <w:p>
      <w:pPr>
        <w:pStyle w:val="TOC2"/>
        <w:tabs>
          <w:tab w:val="right" w:pos="9412"/>
        </w:tabs>
        <w:spacing w:after="20" w:before="0" w:line="250" w:lineRule="auto"/>
        <w:ind w:left="340"/>
      </w:pPr>
      <w:hyperlink w:history="1" w:anchor="_Toc9000004">
        <w:r>
          <w:rPr>
            <w:rFonts w:ascii="Plus Jakarta Sans" w:cs="Plus Jakarta Sans" w:eastAsia="Plus Jakarta Sans" w:hAnsi="Plus Jakarta Sans"/>
            <w:color w:val="53575B"/>
            <w:sz w:val="17"/>
            <w:szCs w:val="17"/>
          </w:rPr>
          <w:t xml:space="preserve">The line</w:t>
        </w:r>
        <w:r>
          <w:tab/>
        </w:r>
        <w:r>
          <w:rPr>
            <w:rFonts w:ascii="Geist Mono" w:cs="Geist Mono" w:eastAsia="Geist Mono" w:hAnsi="Geist Mono"/>
            <w:color w:val="53575B"/>
            <w:sz w:val="15"/>
            <w:szCs w:val="15"/>
          </w:rPr>
          <w:t xml:space="preserve">3</w:t>
        </w:r>
      </w:hyperlink>
    </w:p>
    <w:p>
      <w:pPr>
        <w:pStyle w:val="TOC1"/>
        <w:tabs>
          <w:tab w:val="right" w:pos="9412"/>
        </w:tabs>
        <w:spacing w:after="20" w:before="180" w:line="260" w:lineRule="auto"/>
      </w:pPr>
      <w:hyperlink w:history="1" w:anchor="_Toc9000005">
        <w:r>
          <w:rPr>
            <w:rFonts w:ascii="Plus Jakarta Sans SemiBold" w:cs="Plus Jakarta Sans SemiBold" w:eastAsia="Plus Jakarta Sans SemiBold" w:hAnsi="Plus Jakarta Sans SemiBold"/>
            <w:color w:val="16181A"/>
            <w:spacing w:val="-3"/>
            <w:sz w:val="20"/>
            <w:szCs w:val="20"/>
          </w:rPr>
          <w:t xml:space="preserve">02  Logo</w:t>
        </w:r>
        <w:r>
          <w:tab/>
        </w:r>
        <w:r>
          <w:rPr>
            <w:rFonts w:ascii="Geist Mono" w:cs="Geist Mono" w:eastAsia="Geist Mono" w:hAnsi="Geist Mono"/>
            <w:color w:val="16181A"/>
            <w:sz w:val="16"/>
            <w:szCs w:val="16"/>
          </w:rPr>
          <w:t xml:space="preserve">4</w:t>
        </w:r>
      </w:hyperlink>
    </w:p>
    <w:p>
      <w:pPr>
        <w:pStyle w:val="TOC2"/>
        <w:tabs>
          <w:tab w:val="right" w:pos="9412"/>
        </w:tabs>
        <w:spacing w:after="20" w:before="0" w:line="250" w:lineRule="auto"/>
        <w:ind w:left="340"/>
      </w:pPr>
      <w:hyperlink w:history="1" w:anchor="_Toc9000006">
        <w:r>
          <w:rPr>
            <w:rFonts w:ascii="Plus Jakarta Sans" w:cs="Plus Jakarta Sans" w:eastAsia="Plus Jakarta Sans" w:hAnsi="Plus Jakarta Sans"/>
            <w:color w:val="53575B"/>
            <w:sz w:val="17"/>
            <w:szCs w:val="17"/>
          </w:rPr>
          <w:t xml:space="preserve">The mark — this is the logo</w:t>
        </w:r>
        <w:r>
          <w:tab/>
        </w:r>
        <w:r>
          <w:rPr>
            <w:rFonts w:ascii="Geist Mono" w:cs="Geist Mono" w:eastAsia="Geist Mono" w:hAnsi="Geist Mono"/>
            <w:color w:val="53575B"/>
            <w:sz w:val="15"/>
            <w:szCs w:val="15"/>
          </w:rPr>
          <w:t xml:space="preserve">4</w:t>
        </w:r>
      </w:hyperlink>
    </w:p>
    <w:p>
      <w:pPr>
        <w:pStyle w:val="TOC2"/>
        <w:tabs>
          <w:tab w:val="right" w:pos="9412"/>
        </w:tabs>
        <w:spacing w:after="20" w:before="0" w:line="250" w:lineRule="auto"/>
        <w:ind w:left="340"/>
      </w:pPr>
      <w:hyperlink w:history="1" w:anchor="_Toc9000007">
        <w:r>
          <w:rPr>
            <w:rFonts w:ascii="Plus Jakarta Sans" w:cs="Plus Jakarta Sans" w:eastAsia="Plus Jakarta Sans" w:hAnsi="Plus Jakarta Sans"/>
            <w:color w:val="53575B"/>
            <w:sz w:val="17"/>
            <w:szCs w:val="17"/>
          </w:rPr>
          <w:t xml:space="preserve">The badge — the exception, not the default</w:t>
        </w:r>
        <w:r>
          <w:tab/>
        </w:r>
        <w:r>
          <w:rPr>
            <w:rFonts w:ascii="Geist Mono" w:cs="Geist Mono" w:eastAsia="Geist Mono" w:hAnsi="Geist Mono"/>
            <w:color w:val="53575B"/>
            <w:sz w:val="15"/>
            <w:szCs w:val="15"/>
          </w:rPr>
          <w:t xml:space="preserve">4</w:t>
        </w:r>
      </w:hyperlink>
    </w:p>
    <w:p>
      <w:pPr>
        <w:pStyle w:val="TOC2"/>
        <w:tabs>
          <w:tab w:val="right" w:pos="9412"/>
        </w:tabs>
        <w:spacing w:after="20" w:before="0" w:line="250" w:lineRule="auto"/>
        <w:ind w:left="340"/>
      </w:pPr>
      <w:hyperlink w:history="1" w:anchor="_Toc9000008">
        <w:r>
          <w:rPr>
            <w:rFonts w:ascii="Plus Jakarta Sans" w:cs="Plus Jakarta Sans" w:eastAsia="Plus Jakarta Sans" w:hAnsi="Plus Jakarta Sans"/>
            <w:color w:val="53575B"/>
            <w:sz w:val="17"/>
            <w:szCs w:val="17"/>
          </w:rPr>
          <w:t xml:space="preserve">Construction</w:t>
        </w:r>
        <w:r>
          <w:tab/>
        </w:r>
        <w:r>
          <w:rPr>
            <w:rFonts w:ascii="Geist Mono" w:cs="Geist Mono" w:eastAsia="Geist Mono" w:hAnsi="Geist Mono"/>
            <w:color w:val="53575B"/>
            <w:sz w:val="15"/>
            <w:szCs w:val="15"/>
          </w:rPr>
          <w:t xml:space="preserve">5</w:t>
        </w:r>
      </w:hyperlink>
    </w:p>
    <w:p>
      <w:pPr>
        <w:pStyle w:val="TOC2"/>
        <w:tabs>
          <w:tab w:val="right" w:pos="9412"/>
        </w:tabs>
        <w:spacing w:after="20" w:before="0" w:line="250" w:lineRule="auto"/>
        <w:ind w:left="340"/>
      </w:pPr>
      <w:hyperlink w:history="1" w:anchor="_Toc9000009">
        <w:r>
          <w:rPr>
            <w:rFonts w:ascii="Plus Jakarta Sans" w:cs="Plus Jakarta Sans" w:eastAsia="Plus Jakarta Sans" w:hAnsi="Plus Jakarta Sans"/>
            <w:color w:val="53575B"/>
            <w:sz w:val="17"/>
            <w:szCs w:val="17"/>
          </w:rPr>
          <w:t xml:space="preserve">The name</w:t>
        </w:r>
        <w:r>
          <w:tab/>
        </w:r>
        <w:r>
          <w:rPr>
            <w:rFonts w:ascii="Geist Mono" w:cs="Geist Mono" w:eastAsia="Geist Mono" w:hAnsi="Geist Mono"/>
            <w:color w:val="53575B"/>
            <w:sz w:val="15"/>
            <w:szCs w:val="15"/>
          </w:rPr>
          <w:t xml:space="preserve">6</w:t>
        </w:r>
      </w:hyperlink>
    </w:p>
    <w:p>
      <w:pPr>
        <w:pStyle w:val="TOC2"/>
        <w:tabs>
          <w:tab w:val="right" w:pos="9412"/>
        </w:tabs>
        <w:spacing w:after="20" w:before="0" w:line="250" w:lineRule="auto"/>
        <w:ind w:left="340"/>
      </w:pPr>
      <w:hyperlink w:history="1" w:anchor="_Toc9000010">
        <w:r>
          <w:rPr>
            <w:rFonts w:ascii="Plus Jakarta Sans" w:cs="Plus Jakarta Sans" w:eastAsia="Plus Jakarta Sans" w:hAnsi="Plus Jakarta Sans"/>
            <w:color w:val="53575B"/>
            <w:sz w:val="17"/>
            <w:szCs w:val="17"/>
          </w:rPr>
          <w:t xml:space="preserve">Rules</w:t>
        </w:r>
        <w:r>
          <w:tab/>
        </w:r>
        <w:r>
          <w:rPr>
            <w:rFonts w:ascii="Geist Mono" w:cs="Geist Mono" w:eastAsia="Geist Mono" w:hAnsi="Geist Mono"/>
            <w:color w:val="53575B"/>
            <w:sz w:val="15"/>
            <w:szCs w:val="15"/>
          </w:rPr>
          <w:t xml:space="preserve">6</w:t>
        </w:r>
      </w:hyperlink>
    </w:p>
    <w:p>
      <w:pPr>
        <w:pStyle w:val="TOC1"/>
        <w:tabs>
          <w:tab w:val="right" w:pos="9412"/>
        </w:tabs>
        <w:spacing w:after="20" w:before="180" w:line="260" w:lineRule="auto"/>
      </w:pPr>
      <w:hyperlink w:history="1" w:anchor="_Toc9000011">
        <w:r>
          <w:rPr>
            <w:rFonts w:ascii="Plus Jakarta Sans SemiBold" w:cs="Plus Jakarta Sans SemiBold" w:eastAsia="Plus Jakarta Sans SemiBold" w:hAnsi="Plus Jakarta Sans SemiBold"/>
            <w:color w:val="16181A"/>
            <w:spacing w:val="-3"/>
            <w:sz w:val="20"/>
            <w:szCs w:val="20"/>
          </w:rPr>
          <w:t xml:space="preserve">03  Typography</w:t>
        </w:r>
        <w:r>
          <w:tab/>
        </w:r>
        <w:r>
          <w:rPr>
            <w:rFonts w:ascii="Geist Mono" w:cs="Geist Mono" w:eastAsia="Geist Mono" w:hAnsi="Geist Mono"/>
            <w:color w:val="16181A"/>
            <w:sz w:val="16"/>
            <w:szCs w:val="16"/>
          </w:rPr>
          <w:t xml:space="preserve">7</w:t>
        </w:r>
      </w:hyperlink>
    </w:p>
    <w:p>
      <w:pPr>
        <w:pStyle w:val="TOC2"/>
        <w:tabs>
          <w:tab w:val="right" w:pos="9412"/>
        </w:tabs>
        <w:spacing w:after="20" w:before="0" w:line="250" w:lineRule="auto"/>
        <w:ind w:left="340"/>
      </w:pPr>
      <w:hyperlink w:history="1" w:anchor="_Toc9000012">
        <w:r>
          <w:rPr>
            <w:rFonts w:ascii="Plus Jakarta Sans" w:cs="Plus Jakarta Sans" w:eastAsia="Plus Jakarta Sans" w:hAnsi="Plus Jakarta Sans"/>
            <w:color w:val="53575B"/>
            <w:sz w:val="17"/>
            <w:szCs w:val="17"/>
          </w:rPr>
          <w:t xml:space="preserve">Why Plus Jakarta Sans</w:t>
        </w:r>
        <w:r>
          <w:tab/>
        </w:r>
        <w:r>
          <w:rPr>
            <w:rFonts w:ascii="Geist Mono" w:cs="Geist Mono" w:eastAsia="Geist Mono" w:hAnsi="Geist Mono"/>
            <w:color w:val="53575B"/>
            <w:sz w:val="15"/>
            <w:szCs w:val="15"/>
          </w:rPr>
          <w:t xml:space="preserve">7</w:t>
        </w:r>
      </w:hyperlink>
    </w:p>
    <w:p>
      <w:pPr>
        <w:pStyle w:val="TOC2"/>
        <w:tabs>
          <w:tab w:val="right" w:pos="9412"/>
        </w:tabs>
        <w:spacing w:after="20" w:before="0" w:line="250" w:lineRule="auto"/>
        <w:ind w:left="340"/>
      </w:pPr>
      <w:hyperlink w:history="1" w:anchor="_Toc9000013">
        <w:r>
          <w:rPr>
            <w:rFonts w:ascii="Plus Jakarta Sans" w:cs="Plus Jakarta Sans" w:eastAsia="Plus Jakarta Sans" w:hAnsi="Plus Jakarta Sans"/>
            <w:color w:val="53575B"/>
            <w:sz w:val="17"/>
            <w:szCs w:val="17"/>
          </w:rPr>
          <w:t xml:space="preserve">The scale</w:t>
        </w:r>
        <w:r>
          <w:tab/>
        </w:r>
        <w:r>
          <w:rPr>
            <w:rFonts w:ascii="Geist Mono" w:cs="Geist Mono" w:eastAsia="Geist Mono" w:hAnsi="Geist Mono"/>
            <w:color w:val="53575B"/>
            <w:sz w:val="15"/>
            <w:szCs w:val="15"/>
          </w:rPr>
          <w:t xml:space="preserve">8</w:t>
        </w:r>
      </w:hyperlink>
    </w:p>
    <w:p>
      <w:pPr>
        <w:pStyle w:val="TOC2"/>
        <w:tabs>
          <w:tab w:val="right" w:pos="9412"/>
        </w:tabs>
        <w:spacing w:after="20" w:before="0" w:line="250" w:lineRule="auto"/>
        <w:ind w:left="340"/>
      </w:pPr>
      <w:hyperlink w:history="1" w:anchor="_Toc9000014">
        <w:r>
          <w:rPr>
            <w:rFonts w:ascii="Plus Jakarta Sans" w:cs="Plus Jakarta Sans" w:eastAsia="Plus Jakarta Sans" w:hAnsi="Plus Jakarta Sans"/>
            <w:color w:val="53575B"/>
            <w:sz w:val="17"/>
            <w:szCs w:val="17"/>
          </w:rPr>
          <w:t xml:space="preserve">German typesetting</w:t>
        </w:r>
        <w:r>
          <w:tab/>
        </w:r>
        <w:r>
          <w:rPr>
            <w:rFonts w:ascii="Geist Mono" w:cs="Geist Mono" w:eastAsia="Geist Mono" w:hAnsi="Geist Mono"/>
            <w:color w:val="53575B"/>
            <w:sz w:val="15"/>
            <w:szCs w:val="15"/>
          </w:rPr>
          <w:t xml:space="preserve">8</w:t>
        </w:r>
      </w:hyperlink>
    </w:p>
    <w:p>
      <w:pPr>
        <w:pStyle w:val="TOC1"/>
        <w:tabs>
          <w:tab w:val="right" w:pos="9412"/>
        </w:tabs>
        <w:spacing w:after="20" w:before="180" w:line="260" w:lineRule="auto"/>
      </w:pPr>
      <w:hyperlink w:history="1" w:anchor="_Toc9000015">
        <w:r>
          <w:rPr>
            <w:rFonts w:ascii="Plus Jakarta Sans SemiBold" w:cs="Plus Jakarta Sans SemiBold" w:eastAsia="Plus Jakarta Sans SemiBold" w:hAnsi="Plus Jakarta Sans SemiBold"/>
            <w:color w:val="16181A"/>
            <w:spacing w:val="-3"/>
            <w:sz w:val="20"/>
            <w:szCs w:val="20"/>
          </w:rPr>
          <w:t xml:space="preserve">04  Colour</w:t>
        </w:r>
        <w:r>
          <w:tab/>
        </w:r>
        <w:r>
          <w:rPr>
            <w:rFonts w:ascii="Geist Mono" w:cs="Geist Mono" w:eastAsia="Geist Mono" w:hAnsi="Geist Mono"/>
            <w:color w:val="16181A"/>
            <w:sz w:val="16"/>
            <w:szCs w:val="16"/>
          </w:rPr>
          <w:t xml:space="preserve">9</w:t>
        </w:r>
      </w:hyperlink>
    </w:p>
    <w:p>
      <w:pPr>
        <w:pStyle w:val="TOC2"/>
        <w:tabs>
          <w:tab w:val="right" w:pos="9412"/>
        </w:tabs>
        <w:spacing w:after="20" w:before="0" w:line="250" w:lineRule="auto"/>
        <w:ind w:left="340"/>
      </w:pPr>
      <w:hyperlink w:history="1" w:anchor="_Toc9000016">
        <w:r>
          <w:rPr>
            <w:rFonts w:ascii="Plus Jakarta Sans" w:cs="Plus Jakarta Sans" w:eastAsia="Plus Jakarta Sans" w:hAnsi="Plus Jakarta Sans"/>
            <w:color w:val="53575B"/>
            <w:sz w:val="17"/>
            <w:szCs w:val="17"/>
          </w:rPr>
          <w:t xml:space="preserve">The ramps</w:t>
        </w:r>
        <w:r>
          <w:tab/>
        </w:r>
        <w:r>
          <w:rPr>
            <w:rFonts w:ascii="Geist Mono" w:cs="Geist Mono" w:eastAsia="Geist Mono" w:hAnsi="Geist Mono"/>
            <w:color w:val="53575B"/>
            <w:sz w:val="15"/>
            <w:szCs w:val="15"/>
          </w:rPr>
          <w:t xml:space="preserve">9</w:t>
        </w:r>
      </w:hyperlink>
    </w:p>
    <w:p>
      <w:pPr>
        <w:pStyle w:val="TOC2"/>
        <w:tabs>
          <w:tab w:val="right" w:pos="9412"/>
        </w:tabs>
        <w:spacing w:after="20" w:before="0" w:line="250" w:lineRule="auto"/>
        <w:ind w:left="340"/>
      </w:pPr>
      <w:hyperlink w:history="1" w:anchor="_Toc9000017">
        <w:r>
          <w:rPr>
            <w:rFonts w:ascii="Plus Jakarta Sans" w:cs="Plus Jakarta Sans" w:eastAsia="Plus Jakarta Sans" w:hAnsi="Plus Jakarta Sans"/>
            <w:color w:val="53575B"/>
            <w:sz w:val="17"/>
            <w:szCs w:val="17"/>
          </w:rPr>
          <w:t xml:space="preserve">Semantic tokens</w:t>
        </w:r>
        <w:r>
          <w:tab/>
        </w:r>
        <w:r>
          <w:rPr>
            <w:rFonts w:ascii="Geist Mono" w:cs="Geist Mono" w:eastAsia="Geist Mono" w:hAnsi="Geist Mono"/>
            <w:color w:val="53575B"/>
            <w:sz w:val="15"/>
            <w:szCs w:val="15"/>
          </w:rPr>
          <w:t xml:space="preserve">12</w:t>
        </w:r>
      </w:hyperlink>
    </w:p>
    <w:p>
      <w:pPr>
        <w:pStyle w:val="TOC2"/>
        <w:tabs>
          <w:tab w:val="right" w:pos="9412"/>
        </w:tabs>
        <w:spacing w:after="20" w:before="0" w:line="250" w:lineRule="auto"/>
        <w:ind w:left="340"/>
      </w:pPr>
      <w:hyperlink w:history="1" w:anchor="_Toc9000018">
        <w:r>
          <w:rPr>
            <w:rFonts w:ascii="Plus Jakarta Sans" w:cs="Plus Jakarta Sans" w:eastAsia="Plus Jakarta Sans" w:hAnsi="Plus Jakarta Sans"/>
            <w:color w:val="53575B"/>
            <w:sz w:val="17"/>
            <w:szCs w:val="17"/>
          </w:rPr>
          <w:t xml:space="preserve">Status</w:t>
        </w:r>
        <w:r>
          <w:tab/>
        </w:r>
        <w:r>
          <w:rPr>
            <w:rFonts w:ascii="Geist Mono" w:cs="Geist Mono" w:eastAsia="Geist Mono" w:hAnsi="Geist Mono"/>
            <w:color w:val="53575B"/>
            <w:sz w:val="15"/>
            <w:szCs w:val="15"/>
          </w:rPr>
          <w:t xml:space="preserve">12</w:t>
        </w:r>
      </w:hyperlink>
    </w:p>
    <w:p>
      <w:pPr>
        <w:pStyle w:val="TOC1"/>
        <w:tabs>
          <w:tab w:val="right" w:pos="9412"/>
        </w:tabs>
        <w:spacing w:after="20" w:before="180" w:line="260" w:lineRule="auto"/>
      </w:pPr>
      <w:hyperlink w:history="1" w:anchor="_Toc9000019">
        <w:r>
          <w:rPr>
            <w:rFonts w:ascii="Plus Jakarta Sans SemiBold" w:cs="Plus Jakarta Sans SemiBold" w:eastAsia="Plus Jakarta Sans SemiBold" w:hAnsi="Plus Jakarta Sans SemiBold"/>
            <w:color w:val="16181A"/>
            <w:spacing w:val="-3"/>
            <w:sz w:val="20"/>
            <w:szCs w:val="20"/>
          </w:rPr>
          <w:t xml:space="preserve">05  Data visualisation</w:t>
        </w:r>
        <w:r>
          <w:tab/>
        </w:r>
        <w:r>
          <w:rPr>
            <w:rFonts w:ascii="Geist Mono" w:cs="Geist Mono" w:eastAsia="Geist Mono" w:hAnsi="Geist Mono"/>
            <w:color w:val="16181A"/>
            <w:sz w:val="16"/>
            <w:szCs w:val="16"/>
          </w:rPr>
          <w:t xml:space="preserve">13</w:t>
        </w:r>
      </w:hyperlink>
    </w:p>
    <w:p>
      <w:pPr>
        <w:pStyle w:val="TOC2"/>
        <w:tabs>
          <w:tab w:val="right" w:pos="9412"/>
        </w:tabs>
        <w:spacing w:after="20" w:before="0" w:line="250" w:lineRule="auto"/>
        <w:ind w:left="340"/>
      </w:pPr>
      <w:hyperlink w:history="1" w:anchor="_Toc9000020">
        <w:r>
          <w:rPr>
            <w:rFonts w:ascii="Plus Jakarta Sans" w:cs="Plus Jakarta Sans" w:eastAsia="Plus Jakarta Sans" w:hAnsi="Plus Jakarta Sans"/>
            <w:color w:val="53575B"/>
            <w:sz w:val="17"/>
            <w:szCs w:val="17"/>
          </w:rPr>
          <w:t xml:space="preserve">Categorical — fixed order, never cycled</w:t>
        </w:r>
        <w:r>
          <w:tab/>
        </w:r>
        <w:r>
          <w:rPr>
            <w:rFonts w:ascii="Geist Mono" w:cs="Geist Mono" w:eastAsia="Geist Mono" w:hAnsi="Geist Mono"/>
            <w:color w:val="53575B"/>
            <w:sz w:val="15"/>
            <w:szCs w:val="15"/>
          </w:rPr>
          <w:t xml:space="preserve">13</w:t>
        </w:r>
      </w:hyperlink>
    </w:p>
    <w:p>
      <w:pPr>
        <w:pStyle w:val="TOC2"/>
        <w:tabs>
          <w:tab w:val="right" w:pos="9412"/>
        </w:tabs>
        <w:spacing w:after="20" w:before="0" w:line="250" w:lineRule="auto"/>
        <w:ind w:left="340"/>
      </w:pPr>
      <w:hyperlink w:history="1" w:anchor="_Toc9000021">
        <w:r>
          <w:rPr>
            <w:rFonts w:ascii="Plus Jakarta Sans" w:cs="Plus Jakarta Sans" w:eastAsia="Plus Jakarta Sans" w:hAnsi="Plus Jakarta Sans"/>
            <w:color w:val="53575B"/>
            <w:sz w:val="17"/>
            <w:szCs w:val="17"/>
          </w:rPr>
          <w:t xml:space="preserve">Validation</w:t>
        </w:r>
        <w:r>
          <w:tab/>
        </w:r>
        <w:r>
          <w:rPr>
            <w:rFonts w:ascii="Geist Mono" w:cs="Geist Mono" w:eastAsia="Geist Mono" w:hAnsi="Geist Mono"/>
            <w:color w:val="53575B"/>
            <w:sz w:val="15"/>
            <w:szCs w:val="15"/>
          </w:rPr>
          <w:t xml:space="preserve">13</w:t>
        </w:r>
      </w:hyperlink>
    </w:p>
    <w:p>
      <w:pPr>
        <w:pStyle w:val="TOC2"/>
        <w:tabs>
          <w:tab w:val="right" w:pos="9412"/>
        </w:tabs>
        <w:spacing w:after="20" w:before="0" w:line="250" w:lineRule="auto"/>
        <w:ind w:left="340"/>
      </w:pPr>
      <w:hyperlink w:history="1" w:anchor="_Toc9000022">
        <w:r>
          <w:rPr>
            <w:rFonts w:ascii="Plus Jakarta Sans" w:cs="Plus Jakarta Sans" w:eastAsia="Plus Jakarta Sans" w:hAnsi="Plus Jakarta Sans"/>
            <w:color w:val="53575B"/>
            <w:sz w:val="17"/>
            <w:szCs w:val="17"/>
          </w:rPr>
          <w:t xml:space="preserve">Sequential and diverging</w:t>
        </w:r>
        <w:r>
          <w:tab/>
        </w:r>
        <w:r>
          <w:rPr>
            <w:rFonts w:ascii="Geist Mono" w:cs="Geist Mono" w:eastAsia="Geist Mono" w:hAnsi="Geist Mono"/>
            <w:color w:val="53575B"/>
            <w:sz w:val="15"/>
            <w:szCs w:val="15"/>
          </w:rPr>
          <w:t xml:space="preserve">14</w:t>
        </w:r>
      </w:hyperlink>
    </w:p>
    <w:p>
      <w:pPr>
        <w:pStyle w:val="TOC2"/>
        <w:tabs>
          <w:tab w:val="right" w:pos="9412"/>
        </w:tabs>
        <w:spacing w:after="20" w:before="0" w:line="250" w:lineRule="auto"/>
        <w:ind w:left="340"/>
      </w:pPr>
      <w:hyperlink w:history="1" w:anchor="_Toc9000023">
        <w:r>
          <w:rPr>
            <w:rFonts w:ascii="Plus Jakarta Sans" w:cs="Plus Jakarta Sans" w:eastAsia="Plus Jakarta Sans" w:hAnsi="Plus Jakarta Sans"/>
            <w:color w:val="53575B"/>
            <w:sz w:val="17"/>
            <w:szCs w:val="17"/>
          </w:rPr>
          <w:t xml:space="preserve">Marks</w:t>
        </w:r>
        <w:r>
          <w:tab/>
        </w:r>
        <w:r>
          <w:rPr>
            <w:rFonts w:ascii="Geist Mono" w:cs="Geist Mono" w:eastAsia="Geist Mono" w:hAnsi="Geist Mono"/>
            <w:color w:val="53575B"/>
            <w:sz w:val="15"/>
            <w:szCs w:val="15"/>
          </w:rPr>
          <w:t xml:space="preserve">14</w:t>
        </w:r>
      </w:hyperlink>
    </w:p>
    <w:p>
      <w:pPr>
        <w:pStyle w:val="TOC1"/>
        <w:tabs>
          <w:tab w:val="right" w:pos="9412"/>
        </w:tabs>
        <w:spacing w:after="20" w:before="180" w:line="260" w:lineRule="auto"/>
      </w:pPr>
      <w:hyperlink w:history="1" w:anchor="_Toc9000024">
        <w:r>
          <w:rPr>
            <w:rFonts w:ascii="Plus Jakarta Sans SemiBold" w:cs="Plus Jakarta Sans SemiBold" w:eastAsia="Plus Jakarta Sans SemiBold" w:hAnsi="Plus Jakarta Sans SemiBold"/>
            <w:color w:val="16181A"/>
            <w:spacing w:val="-3"/>
            <w:sz w:val="20"/>
            <w:szCs w:val="20"/>
          </w:rPr>
          <w:t xml:space="preserve">06  Layout &amp; space</w:t>
        </w:r>
        <w:r>
          <w:tab/>
        </w:r>
        <w:r>
          <w:rPr>
            <w:rFonts w:ascii="Geist Mono" w:cs="Geist Mono" w:eastAsia="Geist Mono" w:hAnsi="Geist Mono"/>
            <w:color w:val="16181A"/>
            <w:sz w:val="16"/>
            <w:szCs w:val="16"/>
          </w:rPr>
          <w:t xml:space="preserve">15</w:t>
        </w:r>
      </w:hyperlink>
    </w:p>
    <w:p>
      <w:pPr>
        <w:pStyle w:val="TOC2"/>
        <w:tabs>
          <w:tab w:val="right" w:pos="9412"/>
        </w:tabs>
        <w:spacing w:after="20" w:before="0" w:line="250" w:lineRule="auto"/>
        <w:ind w:left="340"/>
      </w:pPr>
      <w:hyperlink w:history="1" w:anchor="_Toc9000025">
        <w:r>
          <w:rPr>
            <w:rFonts w:ascii="Plus Jakarta Sans" w:cs="Plus Jakarta Sans" w:eastAsia="Plus Jakarta Sans" w:hAnsi="Plus Jakarta Sans"/>
            <w:color w:val="53575B"/>
            <w:sz w:val="17"/>
            <w:szCs w:val="17"/>
          </w:rPr>
          <w:t xml:space="preserve">Spacing</w:t>
        </w:r>
        <w:r>
          <w:tab/>
        </w:r>
        <w:r>
          <w:rPr>
            <w:rFonts w:ascii="Geist Mono" w:cs="Geist Mono" w:eastAsia="Geist Mono" w:hAnsi="Geist Mono"/>
            <w:color w:val="53575B"/>
            <w:sz w:val="15"/>
            <w:szCs w:val="15"/>
          </w:rPr>
          <w:t xml:space="preserve">15</w:t>
        </w:r>
      </w:hyperlink>
    </w:p>
    <w:p>
      <w:pPr>
        <w:pStyle w:val="TOC2"/>
        <w:tabs>
          <w:tab w:val="right" w:pos="9412"/>
        </w:tabs>
        <w:spacing w:after="20" w:before="0" w:line="250" w:lineRule="auto"/>
        <w:ind w:left="340"/>
      </w:pPr>
      <w:hyperlink w:history="1" w:anchor="_Toc9000026">
        <w:r>
          <w:rPr>
            <w:rFonts w:ascii="Plus Jakarta Sans" w:cs="Plus Jakarta Sans" w:eastAsia="Plus Jakarta Sans" w:hAnsi="Plus Jakarta Sans"/>
            <w:color w:val="53575B"/>
            <w:sz w:val="17"/>
            <w:szCs w:val="17"/>
          </w:rPr>
          <w:t xml:space="preserve">Radii</w:t>
        </w:r>
        <w:r>
          <w:tab/>
        </w:r>
        <w:r>
          <w:rPr>
            <w:rFonts w:ascii="Geist Mono" w:cs="Geist Mono" w:eastAsia="Geist Mono" w:hAnsi="Geist Mono"/>
            <w:color w:val="53575B"/>
            <w:sz w:val="15"/>
            <w:szCs w:val="15"/>
          </w:rPr>
          <w:t xml:space="preserve">15</w:t>
        </w:r>
      </w:hyperlink>
    </w:p>
    <w:p>
      <w:pPr>
        <w:pStyle w:val="TOC2"/>
        <w:tabs>
          <w:tab w:val="right" w:pos="9412"/>
        </w:tabs>
        <w:spacing w:after="20" w:before="0" w:line="250" w:lineRule="auto"/>
        <w:ind w:left="340"/>
      </w:pPr>
      <w:hyperlink w:history="1" w:anchor="_Toc9000027">
        <w:r>
          <w:rPr>
            <w:rFonts w:ascii="Plus Jakarta Sans" w:cs="Plus Jakarta Sans" w:eastAsia="Plus Jakarta Sans" w:hAnsi="Plus Jakarta Sans"/>
            <w:color w:val="53575B"/>
            <w:sz w:val="17"/>
            <w:szCs w:val="17"/>
          </w:rPr>
          <w:t xml:space="preserve">Rules, not boxes</w:t>
        </w:r>
        <w:r>
          <w:tab/>
        </w:r>
        <w:r>
          <w:rPr>
            <w:rFonts w:ascii="Geist Mono" w:cs="Geist Mono" w:eastAsia="Geist Mono" w:hAnsi="Geist Mono"/>
            <w:color w:val="53575B"/>
            <w:sz w:val="15"/>
            <w:szCs w:val="15"/>
          </w:rPr>
          <w:t xml:space="preserve">15</w:t>
        </w:r>
      </w:hyperlink>
    </w:p>
    <w:p>
      <w:pPr>
        <w:pStyle w:val="TOC1"/>
        <w:tabs>
          <w:tab w:val="right" w:pos="9412"/>
        </w:tabs>
        <w:spacing w:after="20" w:before="180" w:line="260" w:lineRule="auto"/>
      </w:pPr>
      <w:hyperlink w:history="1" w:anchor="_Toc9000028">
        <w:r>
          <w:rPr>
            <w:rFonts w:ascii="Plus Jakarta Sans SemiBold" w:cs="Plus Jakarta Sans SemiBold" w:eastAsia="Plus Jakarta Sans SemiBold" w:hAnsi="Plus Jakarta Sans SemiBold"/>
            <w:color w:val="16181A"/>
            <w:spacing w:val="-3"/>
            <w:sz w:val="20"/>
            <w:szCs w:val="20"/>
          </w:rPr>
          <w:t xml:space="preserve">07  Components</w:t>
        </w:r>
        <w:r>
          <w:tab/>
        </w:r>
        <w:r>
          <w:rPr>
            <w:rFonts w:ascii="Geist Mono" w:cs="Geist Mono" w:eastAsia="Geist Mono" w:hAnsi="Geist Mono"/>
            <w:color w:val="16181A"/>
            <w:sz w:val="16"/>
            <w:szCs w:val="16"/>
          </w:rPr>
          <w:t xml:space="preserve">16</w:t>
        </w:r>
      </w:hyperlink>
    </w:p>
    <w:p>
      <w:pPr>
        <w:pStyle w:val="TOC2"/>
        <w:tabs>
          <w:tab w:val="right" w:pos="9412"/>
        </w:tabs>
        <w:spacing w:after="20" w:before="0" w:line="250" w:lineRule="auto"/>
        <w:ind w:left="340"/>
      </w:pPr>
      <w:hyperlink w:history="1" w:anchor="_Toc9000029">
        <w:r>
          <w:rPr>
            <w:rFonts w:ascii="Plus Jakarta Sans" w:cs="Plus Jakarta Sans" w:eastAsia="Plus Jakarta Sans" w:hAnsi="Plus Jakarta Sans"/>
            <w:color w:val="53575B"/>
            <w:sz w:val="17"/>
            <w:szCs w:val="17"/>
          </w:rPr>
          <w:t xml:space="preserve">Buttons</w:t>
        </w:r>
        <w:r>
          <w:tab/>
        </w:r>
        <w:r>
          <w:rPr>
            <w:rFonts w:ascii="Geist Mono" w:cs="Geist Mono" w:eastAsia="Geist Mono" w:hAnsi="Geist Mono"/>
            <w:color w:val="53575B"/>
            <w:sz w:val="15"/>
            <w:szCs w:val="15"/>
          </w:rPr>
          <w:t xml:space="preserve">16</w:t>
        </w:r>
      </w:hyperlink>
    </w:p>
    <w:p>
      <w:pPr>
        <w:pStyle w:val="TOC2"/>
        <w:tabs>
          <w:tab w:val="right" w:pos="9412"/>
        </w:tabs>
        <w:spacing w:after="20" w:before="0" w:line="250" w:lineRule="auto"/>
        <w:ind w:left="340"/>
      </w:pPr>
      <w:hyperlink w:history="1" w:anchor="_Toc9000030">
        <w:r>
          <w:rPr>
            <w:rFonts w:ascii="Plus Jakarta Sans" w:cs="Plus Jakarta Sans" w:eastAsia="Plus Jakarta Sans" w:hAnsi="Plus Jakarta Sans"/>
            <w:color w:val="53575B"/>
            <w:sz w:val="17"/>
            <w:szCs w:val="17"/>
          </w:rPr>
          <w:t xml:space="preserve">Module chips</w:t>
        </w:r>
        <w:r>
          <w:tab/>
        </w:r>
        <w:r>
          <w:rPr>
            <w:rFonts w:ascii="Geist Mono" w:cs="Geist Mono" w:eastAsia="Geist Mono" w:hAnsi="Geist Mono"/>
            <w:color w:val="53575B"/>
            <w:sz w:val="15"/>
            <w:szCs w:val="15"/>
          </w:rPr>
          <w:t xml:space="preserve">16</w:t>
        </w:r>
      </w:hyperlink>
    </w:p>
    <w:p>
      <w:pPr>
        <w:pStyle w:val="TOC2"/>
        <w:tabs>
          <w:tab w:val="right" w:pos="9412"/>
        </w:tabs>
        <w:spacing w:after="20" w:before="0" w:line="250" w:lineRule="auto"/>
        <w:ind w:left="340"/>
      </w:pPr>
      <w:hyperlink w:history="1" w:anchor="_Toc9000031">
        <w:r>
          <w:rPr>
            <w:rFonts w:ascii="Plus Jakarta Sans" w:cs="Plus Jakarta Sans" w:eastAsia="Plus Jakarta Sans" w:hAnsi="Plus Jakarta Sans"/>
            <w:color w:val="53575B"/>
            <w:sz w:val="17"/>
            <w:szCs w:val="17"/>
          </w:rPr>
          <w:t xml:space="preserve">Status badges</w:t>
        </w:r>
        <w:r>
          <w:tab/>
        </w:r>
        <w:r>
          <w:rPr>
            <w:rFonts w:ascii="Geist Mono" w:cs="Geist Mono" w:eastAsia="Geist Mono" w:hAnsi="Geist Mono"/>
            <w:color w:val="53575B"/>
            <w:sz w:val="15"/>
            <w:szCs w:val="15"/>
          </w:rPr>
          <w:t xml:space="preserve">16</w:t>
        </w:r>
      </w:hyperlink>
    </w:p>
    <w:p>
      <w:pPr>
        <w:pStyle w:val="TOC2"/>
        <w:tabs>
          <w:tab w:val="right" w:pos="9412"/>
        </w:tabs>
        <w:spacing w:after="20" w:before="0" w:line="250" w:lineRule="auto"/>
        <w:ind w:left="340"/>
      </w:pPr>
      <w:hyperlink w:history="1" w:anchor="_Toc9000032">
        <w:r>
          <w:rPr>
            <w:rFonts w:ascii="Plus Jakarta Sans" w:cs="Plus Jakarta Sans" w:eastAsia="Plus Jakarta Sans" w:hAnsi="Plus Jakarta Sans"/>
            <w:color w:val="53575B"/>
            <w:sz w:val="17"/>
            <w:szCs w:val="17"/>
          </w:rPr>
          <w:t xml:space="preserve">KPI</w:t>
        </w:r>
        <w:r>
          <w:tab/>
        </w:r>
        <w:r>
          <w:rPr>
            <w:rFonts w:ascii="Geist Mono" w:cs="Geist Mono" w:eastAsia="Geist Mono" w:hAnsi="Geist Mono"/>
            <w:color w:val="53575B"/>
            <w:sz w:val="15"/>
            <w:szCs w:val="15"/>
          </w:rPr>
          <w:t xml:space="preserve">16</w:t>
        </w:r>
      </w:hyperlink>
    </w:p>
    <w:p>
      <w:pPr>
        <w:pStyle w:val="TOC1"/>
        <w:tabs>
          <w:tab w:val="right" w:pos="9412"/>
        </w:tabs>
        <w:spacing w:after="20" w:before="180" w:line="260" w:lineRule="auto"/>
      </w:pPr>
      <w:hyperlink w:history="1" w:anchor="_Toc9000033">
        <w:r>
          <w:rPr>
            <w:rFonts w:ascii="Plus Jakarta Sans SemiBold" w:cs="Plus Jakarta Sans SemiBold" w:eastAsia="Plus Jakarta Sans SemiBold" w:hAnsi="Plus Jakarta Sans SemiBold"/>
            <w:color w:val="16181A"/>
            <w:spacing w:val="-3"/>
            <w:sz w:val="20"/>
            <w:szCs w:val="20"/>
          </w:rPr>
          <w:t xml:space="preserve">08  Motion</w:t>
        </w:r>
        <w:r>
          <w:tab/>
        </w:r>
        <w:r>
          <w:rPr>
            <w:rFonts w:ascii="Geist Mono" w:cs="Geist Mono" w:eastAsia="Geist Mono" w:hAnsi="Geist Mono"/>
            <w:color w:val="16181A"/>
            <w:sz w:val="16"/>
            <w:szCs w:val="16"/>
          </w:rPr>
          <w:t xml:space="preserve">17</w:t>
        </w:r>
      </w:hyperlink>
    </w:p>
    <w:p>
      <w:pPr>
        <w:pStyle w:val="TOC2"/>
        <w:tabs>
          <w:tab w:val="right" w:pos="9412"/>
        </w:tabs>
        <w:spacing w:after="20" w:before="0" w:line="250" w:lineRule="auto"/>
        <w:ind w:left="340"/>
      </w:pPr>
      <w:hyperlink w:history="1" w:anchor="_Toc9000034">
        <w:r>
          <w:rPr>
            <w:rFonts w:ascii="Plus Jakarta Sans" w:cs="Plus Jakarta Sans" w:eastAsia="Plus Jakarta Sans" w:hAnsi="Plus Jakarta Sans"/>
            <w:color w:val="53575B"/>
            <w:sz w:val="17"/>
            <w:szCs w:val="17"/>
          </w:rPr>
          <w:t xml:space="preserve">Tokens</w:t>
        </w:r>
        <w:r>
          <w:tab/>
        </w:r>
        <w:r>
          <w:rPr>
            <w:rFonts w:ascii="Geist Mono" w:cs="Geist Mono" w:eastAsia="Geist Mono" w:hAnsi="Geist Mono"/>
            <w:color w:val="53575B"/>
            <w:sz w:val="15"/>
            <w:szCs w:val="15"/>
          </w:rPr>
          <w:t xml:space="preserve">17</w:t>
        </w:r>
      </w:hyperlink>
    </w:p>
    <w:p>
      <w:pPr>
        <w:pStyle w:val="TOC2"/>
        <w:tabs>
          <w:tab w:val="right" w:pos="9412"/>
        </w:tabs>
        <w:spacing w:after="20" w:before="0" w:line="250" w:lineRule="auto"/>
        <w:ind w:left="340"/>
      </w:pPr>
      <w:hyperlink w:history="1" w:anchor="_Toc9000035">
        <w:r>
          <w:rPr>
            <w:rFonts w:ascii="Plus Jakarta Sans" w:cs="Plus Jakarta Sans" w:eastAsia="Plus Jakarta Sans" w:hAnsi="Plus Jakarta Sans"/>
            <w:color w:val="53575B"/>
            <w:sz w:val="17"/>
            <w:szCs w:val="17"/>
          </w:rPr>
          <w:t xml:space="preserve">Where motion appears</w:t>
        </w:r>
        <w:r>
          <w:tab/>
        </w:r>
        <w:r>
          <w:rPr>
            <w:rFonts w:ascii="Geist Mono" w:cs="Geist Mono" w:eastAsia="Geist Mono" w:hAnsi="Geist Mono"/>
            <w:color w:val="53575B"/>
            <w:sz w:val="15"/>
            <w:szCs w:val="15"/>
          </w:rPr>
          <w:t xml:space="preserve">17</w:t>
        </w:r>
      </w:hyperlink>
    </w:p>
    <w:p>
      <w:pPr>
        <w:pStyle w:val="TOC1"/>
        <w:tabs>
          <w:tab w:val="right" w:pos="9412"/>
        </w:tabs>
        <w:spacing w:after="20" w:before="180" w:line="260" w:lineRule="auto"/>
      </w:pPr>
      <w:hyperlink w:history="1" w:anchor="_Toc9000036">
        <w:r>
          <w:rPr>
            <w:rFonts w:ascii="Plus Jakarta Sans SemiBold" w:cs="Plus Jakarta Sans SemiBold" w:eastAsia="Plus Jakarta Sans SemiBold" w:hAnsi="Plus Jakarta Sans SemiBold"/>
            <w:color w:val="16181A"/>
            <w:spacing w:val="-3"/>
            <w:sz w:val="20"/>
            <w:szCs w:val="20"/>
          </w:rPr>
          <w:t xml:space="preserve">09  Voice</w:t>
        </w:r>
        <w:r>
          <w:tab/>
        </w:r>
        <w:r>
          <w:rPr>
            <w:rFonts w:ascii="Geist Mono" w:cs="Geist Mono" w:eastAsia="Geist Mono" w:hAnsi="Geist Mono"/>
            <w:color w:val="16181A"/>
            <w:sz w:val="16"/>
            <w:szCs w:val="16"/>
          </w:rPr>
          <w:t xml:space="preserve">18</w:t>
        </w:r>
      </w:hyperlink>
    </w:p>
    <w:p>
      <w:pPr>
        <w:pStyle w:val="TOC2"/>
        <w:tabs>
          <w:tab w:val="right" w:pos="9412"/>
        </w:tabs>
        <w:spacing w:after="20" w:before="0" w:line="250" w:lineRule="auto"/>
        <w:ind w:left="340"/>
      </w:pPr>
      <w:hyperlink w:history="1" w:anchor="_Toc9000037">
        <w:r>
          <w:rPr>
            <w:rFonts w:ascii="Plus Jakarta Sans" w:cs="Plus Jakarta Sans" w:eastAsia="Plus Jakarta Sans" w:hAnsi="Plus Jakarta Sans"/>
            <w:color w:val="53575B"/>
            <w:sz w:val="17"/>
            <w:szCs w:val="17"/>
          </w:rPr>
          <w:t xml:space="preserve">Naming</w:t>
        </w:r>
        <w:r>
          <w:tab/>
        </w:r>
        <w:r>
          <w:rPr>
            <w:rFonts w:ascii="Geist Mono" w:cs="Geist Mono" w:eastAsia="Geist Mono" w:hAnsi="Geist Mono"/>
            <w:color w:val="53575B"/>
            <w:sz w:val="15"/>
            <w:szCs w:val="15"/>
          </w:rPr>
          <w:t xml:space="preserve">18</w:t>
        </w:r>
      </w:hyperlink>
    </w:p>
    <w:p>
      <w:pPr>
        <w:pStyle w:val="TOC2"/>
        <w:tabs>
          <w:tab w:val="right" w:pos="9412"/>
        </w:tabs>
        <w:spacing w:after="20" w:before="0" w:line="250" w:lineRule="auto"/>
        <w:ind w:left="340"/>
      </w:pPr>
      <w:hyperlink w:history="1" w:anchor="_Toc9000038">
        <w:r>
          <w:rPr>
            <w:rFonts w:ascii="Plus Jakarta Sans" w:cs="Plus Jakarta Sans" w:eastAsia="Plus Jakarta Sans" w:hAnsi="Plus Jakarta Sans"/>
            <w:color w:val="53575B"/>
            <w:sz w:val="17"/>
            <w:szCs w:val="17"/>
          </w:rPr>
          <w:t xml:space="preserve">Specimens</w:t>
        </w:r>
        <w:r>
          <w:tab/>
        </w:r>
        <w:r>
          <w:rPr>
            <w:rFonts w:ascii="Geist Mono" w:cs="Geist Mono" w:eastAsia="Geist Mono" w:hAnsi="Geist Mono"/>
            <w:color w:val="53575B"/>
            <w:sz w:val="15"/>
            <w:szCs w:val="15"/>
          </w:rPr>
          <w:t xml:space="preserve">18</w:t>
        </w:r>
      </w:hyperlink>
    </w:p>
    <w:p>
      <w:pPr>
        <w:pStyle w:val="TOC1"/>
        <w:tabs>
          <w:tab w:val="right" w:pos="9412"/>
        </w:tabs>
        <w:spacing w:after="20" w:before="180" w:line="260" w:lineRule="auto"/>
      </w:pPr>
      <w:hyperlink w:history="1" w:anchor="_Toc9000039">
        <w:r>
          <w:rPr>
            <w:rFonts w:ascii="Plus Jakarta Sans SemiBold" w:cs="Plus Jakarta Sans SemiBold" w:eastAsia="Plus Jakarta Sans SemiBold" w:hAnsi="Plus Jakarta Sans SemiBold"/>
            <w:color w:val="16181A"/>
            <w:spacing w:val="-3"/>
            <w:sz w:val="20"/>
            <w:szCs w:val="20"/>
          </w:rPr>
          <w:t xml:space="preserve">10  Documents</w:t>
        </w:r>
        <w:r>
          <w:tab/>
        </w:r>
        <w:r>
          <w:rPr>
            <w:rFonts w:ascii="Geist Mono" w:cs="Geist Mono" w:eastAsia="Geist Mono" w:hAnsi="Geist Mono"/>
            <w:color w:val="16181A"/>
            <w:sz w:val="16"/>
            <w:szCs w:val="16"/>
          </w:rPr>
          <w:t xml:space="preserve">19</w:t>
        </w:r>
      </w:hyperlink>
    </w:p>
    <w:p>
      <w:pPr>
        <w:pStyle w:val="TOC2"/>
        <w:tabs>
          <w:tab w:val="right" w:pos="9412"/>
        </w:tabs>
        <w:spacing w:after="20" w:before="0" w:line="250" w:lineRule="auto"/>
        <w:ind w:left="340"/>
      </w:pPr>
      <w:hyperlink w:history="1" w:anchor="_Toc9000040">
        <w:r>
          <w:rPr>
            <w:rFonts w:ascii="Plus Jakarta Sans" w:cs="Plus Jakarta Sans" w:eastAsia="Plus Jakarta Sans" w:hAnsi="Plus Jakarta Sans"/>
            <w:color w:val="53575B"/>
            <w:sz w:val="17"/>
            <w:szCs w:val="17"/>
          </w:rPr>
          <w:t xml:space="preserve">Page geometry for print</w:t>
        </w:r>
        <w:r>
          <w:tab/>
        </w:r>
        <w:r>
          <w:rPr>
            <w:rFonts w:ascii="Geist Mono" w:cs="Geist Mono" w:eastAsia="Geist Mono" w:hAnsi="Geist Mono"/>
            <w:color w:val="53575B"/>
            <w:sz w:val="15"/>
            <w:szCs w:val="15"/>
          </w:rPr>
          <w:t xml:space="preserve">19</w:t>
        </w:r>
      </w:hyperlink>
    </w:p>
    <w:p>
      <w:pPr>
        <w:pStyle w:val="TOC2"/>
        <w:tabs>
          <w:tab w:val="right" w:pos="9412"/>
        </w:tabs>
        <w:spacing w:after="20" w:before="0" w:line="250" w:lineRule="auto"/>
        <w:ind w:left="340"/>
      </w:pPr>
      <w:hyperlink w:history="1" w:anchor="_Toc9000041">
        <w:r>
          <w:rPr>
            <w:rFonts w:ascii="Plus Jakarta Sans" w:cs="Plus Jakarta Sans" w:eastAsia="Plus Jakarta Sans" w:hAnsi="Plus Jakarta Sans"/>
            <w:color w:val="53575B"/>
            <w:sz w:val="17"/>
            <w:szCs w:val="17"/>
          </w:rPr>
          <w:t xml:space="preserve">Theme fonts</w:t>
        </w:r>
        <w:r>
          <w:tab/>
        </w:r>
        <w:r>
          <w:rPr>
            <w:rFonts w:ascii="Geist Mono" w:cs="Geist Mono" w:eastAsia="Geist Mono" w:hAnsi="Geist Mono"/>
            <w:color w:val="53575B"/>
            <w:sz w:val="15"/>
            <w:szCs w:val="15"/>
          </w:rPr>
          <w:t xml:space="preserve">19</w:t>
        </w:r>
      </w:hyperlink>
    </w:p>
    <w:p>
      <w:pPr>
        <w:pStyle w:val="TOC1"/>
        <w:tabs>
          <w:tab w:val="right" w:pos="9412"/>
        </w:tabs>
        <w:spacing w:after="20" w:before="180" w:line="260" w:lineRule="auto"/>
      </w:pPr>
      <w:hyperlink w:history="1" w:anchor="_Toc9000042">
        <w:r>
          <w:rPr>
            <w:rFonts w:ascii="Plus Jakarta Sans SemiBold" w:cs="Plus Jakarta Sans SemiBold" w:eastAsia="Plus Jakarta Sans SemiBold" w:hAnsi="Plus Jakarta Sans SemiBold"/>
            <w:color w:val="16181A"/>
            <w:spacing w:val="-3"/>
            <w:sz w:val="20"/>
            <w:szCs w:val="20"/>
          </w:rPr>
          <w:t xml:space="preserve">11  Files</w:t>
        </w:r>
        <w:r>
          <w:tab/>
        </w:r>
        <w:r>
          <w:rPr>
            <w:rFonts w:ascii="Geist Mono" w:cs="Geist Mono" w:eastAsia="Geist Mono" w:hAnsi="Geist Mono"/>
            <w:color w:val="16181A"/>
            <w:sz w:val="16"/>
            <w:szCs w:val="16"/>
          </w:rPr>
          <w:t xml:space="preserve">20</w:t>
        </w:r>
      </w:hyperlink>
    </w:p>
    <w:p>
      <w:pPr>
        <w:pStyle w:val="TOC2"/>
        <w:tabs>
          <w:tab w:val="right" w:pos="9412"/>
        </w:tabs>
        <w:spacing w:after="20" w:before="0" w:line="250" w:lineRule="auto"/>
        <w:ind w:left="340"/>
      </w:pPr>
      <w:hyperlink w:history="1" w:anchor="_Toc9000043">
        <w:r>
          <w:rPr>
            <w:rFonts w:ascii="Plus Jakarta Sans" w:cs="Plus Jakarta Sans" w:eastAsia="Plus Jakarta Sans" w:hAnsi="Plus Jakarta Sans"/>
            <w:color w:val="53575B"/>
            <w:sz w:val="17"/>
            <w:szCs w:val="17"/>
          </w:rPr>
          <w:t xml:space="preserve">Using the tokens</w:t>
        </w:r>
        <w:r>
          <w:tab/>
        </w:r>
        <w:r>
          <w:rPr>
            <w:rFonts w:ascii="Geist Mono" w:cs="Geist Mono" w:eastAsia="Geist Mono" w:hAnsi="Geist Mono"/>
            <w:color w:val="53575B"/>
            <w:sz w:val="15"/>
            <w:szCs w:val="15"/>
          </w:rPr>
          <w:t xml:space="preserve">20</w:t>
        </w:r>
      </w:hyperlink>
      <w:r>
        <w:fldChar w:fldCharType="end"/>
      </w:r>
    </w:p>
    <w:p>
      <w:pPr>
        <w:pStyle w:val="Heading1"/>
        <w:keepNext/>
        <w:pageBreakBefore/>
        <w:spacing w:after="60" w:before="0" w:line="320" w:lineRule="auto"/>
      </w:pPr>
      <w:bookmarkStart w:name="_Toc9000001" w:id="1"/>
      <w:r>
        <w:rPr>
          <w:rFonts w:ascii="Geist Mono" w:cs="Geist Mono" w:eastAsia="Geist Mono" w:hAnsi="Geist Mono"/>
          <w:b/>
          <w:bCs/>
          <w:color w:val="8E2222"/>
          <w:spacing w:val="-8"/>
          <w:sz w:val="44"/>
          <w:szCs w:val="44"/>
        </w:rPr>
        <w:t xml:space="preserve">01</w:t>
      </w:r>
      <w:r>
        <w:rPr>
          <w:rFonts w:ascii="Plus Jakarta Sans" w:cs="Plus Jakarta Sans" w:eastAsia="Plus Jakarta Sans" w:hAnsi="Plus Jakarta Sans"/>
          <w:color w:val="16181A"/>
          <w:sz w:val="44"/>
          <w:szCs w:val="44"/>
        </w:rPr>
        <w:t xml:space="preserve">  </w:t>
      </w:r>
      <w:r>
        <w:rPr>
          <w:rFonts w:ascii="Plus Jakarta Sans ExtraBold" w:cs="Plus Jakarta Sans ExtraBold" w:eastAsia="Plus Jakarta Sans ExtraBold" w:hAnsi="Plus Jakarta Sans ExtraBold"/>
          <w:color w:val="16181A"/>
          <w:spacing w:val="-26"/>
          <w:sz w:val="44"/>
          <w:szCs w:val="44"/>
        </w:rPr>
        <w:t xml:space="preserve">The idea</w:t>
      </w:r>
      <w:bookmarkEnd w:id="1"/>
    </w:p>
    <w:p>
      <w:pPr>
        <w:pBdr>
          <w:bottom w:val="single" w:color="E2E3E0" w:sz="6" w:space="1"/>
        </w:pBdr>
        <w:spacing w:after="200" w:before="40" w:line="40" w:lineRule="exact"/>
      </w:pPr>
      <w:r>
        <w:rPr>
          <w:rFonts w:ascii="Plus Jakarta Sans" w:cs="Plus Jakarta Sans" w:eastAsia="Plus Jakarta Sans" w:hAnsi="Plus Jakarta Sans"/>
          <w:color w:val="16181A"/>
          <w:sz w:val="2"/>
          <w:szCs w:val="2"/>
        </w:rPr>
        <w:t xml:space="preserve"/>
      </w:r>
    </w:p>
    <w:p>
      <w:pPr>
        <w:spacing w:after="280" w:before="0" w:line="330" w:lineRule="auto"/>
      </w:pPr>
      <w:r>
        <w:rPr>
          <w:rFonts w:ascii="Plus Jakarta Sans" w:cs="Plus Jakarta Sans" w:eastAsia="Plus Jakarta Sans" w:hAnsi="Plus Jakarta Sans"/>
          <w:color w:val="53575B"/>
          <w:spacing w:val="-1"/>
          <w:sz w:val="22"/>
          <w:szCs w:val="22"/>
        </w:rPr>
        <w:t xml:space="preserve">German construction runs on documents that have to be exactly right. This system’s job is to make BauLynq look like the software that gets them right.</w:t>
      </w:r>
    </w:p>
    <w:p>
      <w:pPr>
        <w:pStyle w:val="Heading2"/>
        <w:keepNext/>
        <w:keepLines/>
        <w:spacing w:after="100" w:before="0" w:line="280" w:lineRule="auto"/>
      </w:pPr>
      <w:bookmarkStart w:name="_Toc9000002" w:id="2"/>
      <w:r>
        <w:rPr>
          <w:rFonts w:ascii="Plus Jakarta Sans SemiBold" w:cs="Plus Jakarta Sans SemiBold" w:eastAsia="Plus Jakarta Sans SemiBold" w:hAnsi="Plus Jakarta Sans SemiBold"/>
          <w:color w:val="16181A"/>
          <w:spacing w:val="-6"/>
          <w:sz w:val="25"/>
          <w:szCs w:val="25"/>
        </w:rPr>
        <w:t xml:space="preserve">Four principles</w:t>
      </w:r>
      <w:bookmarkEnd w:id="2"/>
    </w:p>
    <w:tbl>
      <w:tblPr>
        <w:tblW w:type="dxa" w:w="9412"/>
        <w:tblBorders>
          <w:top w:val="single" w:color="E2E3E0" w:sz="6" w:space="1"/>
          <w:left w:val="none" w:color="auto" w:sz="0" w:space="0"/>
          <w:bottom w:val="single" w:color="E2E3E0" w:sz="6" w:space="1"/>
          <w:right w:val="none" w:color="auto" w:sz="0" w:space="0"/>
          <w:insideH w:val="single" w:color="E2E3E0" w:sz="4" w:space="1"/>
          <w:insideV w:val="none" w:color="auto" w:sz="0" w:space="0"/>
        </w:tblBorders>
        <w:tblLayout w:type="fixed"/>
      </w:tblPr>
      <w:tblGrid>
        <w:gridCol w:w="2700"/>
        <w:gridCol w:w="6712"/>
      </w:tblGrid>
      <w:tr>
        <w:trPr>
          <w:cantSplit/>
          <w:tblHeader/>
        </w:trPr>
        <w:tc>
          <w:tcPr>
            <w:tcW w:type="dxa" w:w="270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Principle</w:t>
            </w:r>
          </w:p>
        </w:tc>
        <w:tc>
          <w:tcPr>
            <w:tcW w:type="dxa" w:w="6712"/>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What it means in practice</w:t>
            </w:r>
          </w:p>
        </w:tc>
      </w:tr>
      <w:tr>
        <w:trPr>
          <w:cantSplit/>
        </w:trPr>
        <w:tc>
          <w:tcPr>
            <w:tcW w:type="dxa" w:w="2700"/>
            <w:tcMar>
              <w:top w:type="dxa" w:w="70"/>
              <w:left w:type="dxa" w:w="90"/>
              <w:bottom w:type="dxa" w:w="70"/>
              <w:right w:type="dxa" w:w="90"/>
            </w:tcMar>
            <w:vAlign w:val="top"/>
          </w:tcPr>
          <w:p>
            <w:pPr>
              <w:spacing w:after="0" w:before="0" w:line="250" w:lineRule="auto"/>
            </w:pPr>
            <w:r>
              <w:rPr>
                <w:rFonts w:ascii="Plus Jakarta Sans SemiBold" w:cs="Plus Jakarta Sans SemiBold" w:eastAsia="Plus Jakarta Sans SemiBold" w:hAnsi="Plus Jakarta Sans SemiBold"/>
                <w:color w:val="16181A"/>
                <w:sz w:val="17"/>
                <w:szCs w:val="17"/>
              </w:rPr>
              <w:t xml:space="preserve">Engineered, not decorated</w:t>
            </w:r>
          </w:p>
        </w:tc>
        <w:tc>
          <w:tcPr>
            <w:tcW w:type="dxa" w:w="6712"/>
            <w:tcMar>
              <w:top w:type="dxa" w:w="70"/>
              <w:left w:type="dxa" w:w="90"/>
              <w:bottom w:type="dxa" w:w="70"/>
              <w:right w:type="dxa" w:w="90"/>
            </w:tcMar>
            <w:vAlign w:val="top"/>
          </w:tcPr>
          <w:p>
            <w:pPr>
              <w:spacing w:after="0" w:before="0" w:line="250" w:lineRule="auto"/>
            </w:pPr>
            <w:r>
              <w:rPr>
                <w:rFonts w:ascii="Plus Jakarta Sans" w:cs="Plus Jakarta Sans" w:eastAsia="Plus Jakarta Sans" w:hAnsi="Plus Jakarta Sans"/>
                <w:color w:val="53575B"/>
                <w:sz w:val="17"/>
                <w:szCs w:val="17"/>
              </w:rPr>
              <w:t xml:space="preserve">Chart colours come from a colour-blindness simulation. Spacing comes from a 4 pt unit. Type sizes come from one ratio. Nothing is here because it looked nice.</w:t>
            </w:r>
          </w:p>
        </w:tc>
      </w:tr>
      <w:tr>
        <w:trPr>
          <w:cantSplit/>
        </w:trPr>
        <w:tc>
          <w:tcPr>
            <w:tcW w:type="dxa" w:w="2700"/>
            <w:tcMar>
              <w:top w:type="dxa" w:w="70"/>
              <w:left w:type="dxa" w:w="90"/>
              <w:bottom w:type="dxa" w:w="70"/>
              <w:right w:type="dxa" w:w="90"/>
            </w:tcMar>
            <w:vAlign w:val="top"/>
          </w:tcPr>
          <w:p>
            <w:pPr>
              <w:spacing w:after="0" w:before="0" w:line="250" w:lineRule="auto"/>
            </w:pPr>
            <w:r>
              <w:rPr>
                <w:rFonts w:ascii="Plus Jakarta Sans SemiBold" w:cs="Plus Jakarta Sans SemiBold" w:eastAsia="Plus Jakarta Sans SemiBold" w:hAnsi="Plus Jakarta Sans SemiBold"/>
                <w:color w:val="16181A"/>
                <w:sz w:val="17"/>
                <w:szCs w:val="17"/>
              </w:rPr>
              <w:t xml:space="preserve">Hairlines and air</w:t>
            </w:r>
          </w:p>
        </w:tc>
        <w:tc>
          <w:tcPr>
            <w:tcW w:type="dxa" w:w="6712"/>
            <w:tcMar>
              <w:top w:type="dxa" w:w="70"/>
              <w:left w:type="dxa" w:w="90"/>
              <w:bottom w:type="dxa" w:w="70"/>
              <w:right w:type="dxa" w:w="90"/>
            </w:tcMar>
            <w:vAlign w:val="top"/>
          </w:tcPr>
          <w:p>
            <w:pPr>
              <w:spacing w:after="0" w:before="0" w:line="250" w:lineRule="auto"/>
            </w:pPr>
            <w:r>
              <w:rPr>
                <w:rFonts w:ascii="Plus Jakarta Sans" w:cs="Plus Jakarta Sans" w:eastAsia="Plus Jakarta Sans" w:hAnsi="Plus Jakarta Sans"/>
                <w:color w:val="53575B"/>
                <w:sz w:val="17"/>
                <w:szCs w:val="17"/>
              </w:rPr>
              <w:t xml:space="preserve">Structure comes from 1 px rules and space — never boxes, shadows or fills. A page should read like a well-set technical drawing.</w:t>
            </w:r>
          </w:p>
        </w:tc>
      </w:tr>
      <w:tr>
        <w:trPr>
          <w:cantSplit/>
        </w:trPr>
        <w:tc>
          <w:tcPr>
            <w:tcW w:type="dxa" w:w="2700"/>
            <w:tcMar>
              <w:top w:type="dxa" w:w="70"/>
              <w:left w:type="dxa" w:w="90"/>
              <w:bottom w:type="dxa" w:w="70"/>
              <w:right w:type="dxa" w:w="90"/>
            </w:tcMar>
            <w:vAlign w:val="top"/>
          </w:tcPr>
          <w:p>
            <w:pPr>
              <w:spacing w:after="0" w:before="0" w:line="250" w:lineRule="auto"/>
            </w:pPr>
            <w:r>
              <w:rPr>
                <w:rFonts w:ascii="Plus Jakarta Sans SemiBold" w:cs="Plus Jakarta Sans SemiBold" w:eastAsia="Plus Jakarta Sans SemiBold" w:hAnsi="Plus Jakarta Sans SemiBold"/>
                <w:color w:val="16181A"/>
                <w:sz w:val="17"/>
                <w:szCs w:val="17"/>
              </w:rPr>
              <w:t xml:space="preserve">One red</w:t>
            </w:r>
          </w:p>
        </w:tc>
        <w:tc>
          <w:tcPr>
            <w:tcW w:type="dxa" w:w="6712"/>
            <w:tcMar>
              <w:top w:type="dxa" w:w="70"/>
              <w:left w:type="dxa" w:w="90"/>
              <w:bottom w:type="dxa" w:w="70"/>
              <w:right w:type="dxa" w:w="90"/>
            </w:tcMar>
            <w:vAlign w:val="top"/>
          </w:tcPr>
          <w:p>
            <w:pPr>
              <w:spacing w:after="0" w:before="0" w:line="250" w:lineRule="auto"/>
            </w:pPr>
            <w:r>
              <w:rPr>
                <w:rFonts w:ascii="Plus Jakarta Sans" w:cs="Plus Jakarta Sans" w:eastAsia="Plus Jakarta Sans" w:hAnsi="Plus Jakarta Sans"/>
                <w:color w:val="53575B"/>
                <w:sz w:val="17"/>
                <w:szCs w:val="17"/>
              </w:rPr>
              <w:t xml:space="preserve">One German red, once per view — the primary action, the number in question, the brand. Spread it and it stops meaning anything.</w:t>
            </w:r>
          </w:p>
        </w:tc>
      </w:tr>
      <w:tr>
        <w:trPr>
          <w:cantSplit/>
        </w:trPr>
        <w:tc>
          <w:tcPr>
            <w:tcW w:type="dxa" w:w="2700"/>
            <w:tcMar>
              <w:top w:type="dxa" w:w="70"/>
              <w:left w:type="dxa" w:w="90"/>
              <w:bottom w:type="dxa" w:w="70"/>
              <w:right w:type="dxa" w:w="90"/>
            </w:tcMar>
            <w:vAlign w:val="top"/>
          </w:tcPr>
          <w:p>
            <w:pPr>
              <w:spacing w:after="0" w:before="0" w:line="250" w:lineRule="auto"/>
            </w:pPr>
            <w:r>
              <w:rPr>
                <w:rFonts w:ascii="Plus Jakarta Sans SemiBold" w:cs="Plus Jakarta Sans SemiBold" w:eastAsia="Plus Jakarta Sans SemiBold" w:hAnsi="Plus Jakarta Sans SemiBold"/>
                <w:color w:val="16181A"/>
                <w:sz w:val="17"/>
                <w:szCs w:val="17"/>
              </w:rPr>
              <w:t xml:space="preserve">The numbers are the product</w:t>
            </w:r>
          </w:p>
        </w:tc>
        <w:tc>
          <w:tcPr>
            <w:tcW w:type="dxa" w:w="6712"/>
            <w:tcMar>
              <w:top w:type="dxa" w:w="70"/>
              <w:left w:type="dxa" w:w="90"/>
              <w:bottom w:type="dxa" w:w="70"/>
              <w:right w:type="dxa" w:w="90"/>
            </w:tcMar>
            <w:vAlign w:val="top"/>
          </w:tcPr>
          <w:p>
            <w:pPr>
              <w:spacing w:after="0" w:before="0" w:line="250" w:lineRule="auto"/>
            </w:pPr>
            <w:r>
              <w:rPr>
                <w:rFonts w:ascii="Plus Jakarta Sans" w:cs="Plus Jakarta Sans" w:eastAsia="Plus Jakarta Sans" w:hAnsi="Plus Jakarta Sans"/>
                <w:color w:val="53575B"/>
                <w:sz w:val="17"/>
                <w:szCs w:val="17"/>
              </w:rPr>
              <w:t xml:space="preserve">A Leistungsverzeichnis is thousands of rows of money. Tabular figures, right alignment, mono, 1.234.567,89 €, hairline row separators and no vertical rules all exist so those rows can be scanned and trusted at a glance.</w:t>
            </w:r>
          </w:p>
        </w:tc>
      </w:tr>
    </w:tbl>
    <w:p>
      <w:pPr>
        <w:pStyle w:val="Heading2"/>
        <w:keepNext/>
        <w:keepLines/>
        <w:spacing w:after="100" w:before="300" w:line="280" w:lineRule="auto"/>
      </w:pPr>
      <w:bookmarkStart w:name="_Toc9000003" w:id="3"/>
      <w:r>
        <w:rPr>
          <w:rFonts w:ascii="Plus Jakarta Sans SemiBold" w:cs="Plus Jakarta Sans SemiBold" w:eastAsia="Plus Jakarta Sans SemiBold" w:hAnsi="Plus Jakarta Sans SemiBold"/>
          <w:color w:val="16181A"/>
          <w:spacing w:val="-6"/>
          <w:sz w:val="25"/>
          <w:szCs w:val="25"/>
        </w:rPr>
        <w:t xml:space="preserve">What a good BauLynq table looks like</w:t>
      </w:r>
      <w:bookmarkEnd w:id="3"/>
    </w:p>
    <w:p>
      <w:pPr>
        <w:spacing w:after="160" w:before="0" w:line="300" w:lineRule="auto"/>
      </w:pPr>
      <w:r>
        <w:rPr>
          <w:rFonts w:ascii="Plus Jakarta Sans" w:cs="Plus Jakarta Sans" w:eastAsia="Plus Jakarta Sans" w:hAnsi="Plus Jakarta Sans"/>
          <w:color w:val="53575B"/>
          <w:sz w:val="18"/>
          <w:szCs w:val="18"/>
        </w:rPr>
        <w:t xml:space="preserve">Every rule above is visible in one artefact — an invoice list. Mono figures, right-aligned money, a status word beside every status colour, hairline separators, no vertical rules.</w:t>
      </w:r>
    </w:p>
    <w:tbl>
      <w:tblPr>
        <w:tblW w:type="dxa" w:w="9412"/>
        <w:tblBorders>
          <w:top w:val="single" w:color="E2E3E0" w:sz="6" w:space="1"/>
          <w:left w:val="none" w:color="auto" w:sz="0" w:space="0"/>
          <w:bottom w:val="single" w:color="E2E3E0" w:sz="6" w:space="1"/>
          <w:right w:val="none" w:color="auto" w:sz="0" w:space="0"/>
          <w:insideH w:val="single" w:color="E2E3E0" w:sz="4" w:space="1"/>
          <w:insideV w:val="none" w:color="auto" w:sz="0" w:space="0"/>
        </w:tblBorders>
        <w:tblLayout w:type="fixed"/>
      </w:tblPr>
      <w:tblGrid>
        <w:gridCol w:w="1000"/>
        <w:gridCol w:w="2900"/>
        <w:gridCol w:w="2300"/>
        <w:gridCol w:w="1700"/>
        <w:gridCol w:w="1512"/>
      </w:tblGrid>
      <w:tr>
        <w:trPr>
          <w:cantSplit/>
          <w:tblHeader/>
        </w:trPr>
        <w:tc>
          <w:tcPr>
            <w:tcW w:type="dxa" w:w="100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Nr.</w:t>
            </w:r>
          </w:p>
        </w:tc>
        <w:tc>
          <w:tcPr>
            <w:tcW w:type="dxa" w:w="290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Bezeichnung</w:t>
            </w:r>
          </w:p>
        </w:tc>
        <w:tc>
          <w:tcPr>
            <w:tcW w:type="dxa" w:w="230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Zeitraum</w:t>
            </w:r>
          </w:p>
        </w:tc>
        <w:tc>
          <w:tcPr>
            <w:tcW w:type="dxa" w:w="170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jc w:val="right"/>
            </w:pPr>
            <w:r>
              <w:rPr>
                <w:rFonts w:ascii="Plus Jakarta Sans SemiBold" w:cs="Plus Jakarta Sans SemiBold" w:eastAsia="Plus Jakarta Sans SemiBold" w:hAnsi="Plus Jakarta Sans SemiBold"/>
                <w:color w:val="16181A"/>
                <w:sz w:val="16"/>
                <w:szCs w:val="16"/>
              </w:rPr>
              <w:t xml:space="preserve">Netto</w:t>
            </w:r>
          </w:p>
        </w:tc>
        <w:tc>
          <w:tcPr>
            <w:tcW w:type="dxa" w:w="1512"/>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Status</w:t>
            </w:r>
          </w:p>
        </w:tc>
      </w:tr>
      <w:tr>
        <w:trPr>
          <w:cantSplit/>
        </w:trPr>
        <w:tc>
          <w:tcPr>
            <w:tcW w:type="dxa" w:w="10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AR-11</w:t>
            </w:r>
          </w:p>
        </w:tc>
        <w:tc>
          <w:tcPr>
            <w:tcW w:type="dxa" w:w="2900"/>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Abschlagsrechnung</w:t>
            </w:r>
          </w:p>
        </w:tc>
        <w:tc>
          <w:tcPr>
            <w:tcW w:type="dxa" w:w="23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01.06.–30.06.2026</w:t>
            </w:r>
          </w:p>
        </w:tc>
        <w:tc>
          <w:tcPr>
            <w:tcW w:type="dxa" w:w="170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317.854,00 €</w:t>
            </w:r>
          </w:p>
        </w:tc>
        <w:tc>
          <w:tcPr>
            <w:tcW w:type="dxa" w:w="15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985E00"/>
                <w:sz w:val="17"/>
                <w:szCs w:val="17"/>
              </w:rPr>
              <w:t xml:space="preserve">In Prüfung</w:t>
            </w:r>
          </w:p>
        </w:tc>
      </w:tr>
      <w:tr>
        <w:trPr>
          <w:cantSplit/>
        </w:trPr>
        <w:tc>
          <w:tcPr>
            <w:tcW w:type="dxa" w:w="10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AR-10</w:t>
            </w:r>
          </w:p>
        </w:tc>
        <w:tc>
          <w:tcPr>
            <w:tcW w:type="dxa" w:w="2900"/>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Abschlagsrechnung</w:t>
            </w:r>
          </w:p>
        </w:tc>
        <w:tc>
          <w:tcPr>
            <w:tcW w:type="dxa" w:w="23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01.05.–31.05.2026</w:t>
            </w:r>
          </w:p>
        </w:tc>
        <w:tc>
          <w:tcPr>
            <w:tcW w:type="dxa" w:w="170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289.410,00 €</w:t>
            </w:r>
          </w:p>
        </w:tc>
        <w:tc>
          <w:tcPr>
            <w:tcW w:type="dxa" w:w="15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00633B"/>
                <w:sz w:val="17"/>
                <w:szCs w:val="17"/>
              </w:rPr>
              <w:t xml:space="preserve">Freigegeben</w:t>
            </w:r>
          </w:p>
        </w:tc>
      </w:tr>
      <w:tr>
        <w:trPr>
          <w:cantSplit/>
        </w:trPr>
        <w:tc>
          <w:tcPr>
            <w:tcW w:type="dxa" w:w="10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N-07</w:t>
            </w:r>
          </w:p>
        </w:tc>
        <w:tc>
          <w:tcPr>
            <w:tcW w:type="dxa" w:w="2900"/>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Nachtrag</w:t>
            </w:r>
          </w:p>
        </w:tc>
        <w:tc>
          <w:tcPr>
            <w:tcW w:type="dxa" w:w="23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w:t>
            </w:r>
          </w:p>
        </w:tc>
        <w:tc>
          <w:tcPr>
            <w:tcW w:type="dxa" w:w="170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17.760,00 €</w:t>
            </w:r>
          </w:p>
        </w:tc>
        <w:tc>
          <w:tcPr>
            <w:tcW w:type="dxa" w:w="15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B83B36"/>
                <w:sz w:val="17"/>
                <w:szCs w:val="17"/>
              </w:rPr>
              <w:t xml:space="preserve">Überfällig</w:t>
            </w:r>
          </w:p>
        </w:tc>
      </w:tr>
      <w:tr>
        <w:trPr>
          <w:cantSplit/>
        </w:trPr>
        <w:tc>
          <w:tcPr>
            <w:tcW w:type="dxa" w:w="10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AR-09</w:t>
            </w:r>
          </w:p>
        </w:tc>
        <w:tc>
          <w:tcPr>
            <w:tcW w:type="dxa" w:w="2900"/>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Abschlagsrechnung</w:t>
            </w:r>
          </w:p>
        </w:tc>
        <w:tc>
          <w:tcPr>
            <w:tcW w:type="dxa" w:w="23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01.04.–30.04.2026</w:t>
            </w:r>
          </w:p>
        </w:tc>
        <w:tc>
          <w:tcPr>
            <w:tcW w:type="dxa" w:w="170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244.176,00 €</w:t>
            </w:r>
          </w:p>
        </w:tc>
        <w:tc>
          <w:tcPr>
            <w:tcW w:type="dxa" w:w="15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00633B"/>
                <w:sz w:val="17"/>
                <w:szCs w:val="17"/>
              </w:rPr>
              <w:t xml:space="preserve">Bezahlt</w:t>
            </w:r>
          </w:p>
        </w:tc>
      </w:tr>
    </w:tbl>
    <w:p>
      <w:pPr>
        <w:spacing w:after="240" w:before="60" w:line="260" w:lineRule="auto"/>
      </w:pPr>
      <w:r>
        <w:rPr>
          <w:rFonts w:ascii="Plus Jakarta Sans" w:cs="Plus Jakarta Sans" w:eastAsia="Plus Jakarta Sans" w:hAnsi="Plus Jakarta Sans"/>
          <w:color w:val="53575B"/>
          <w:sz w:val="15"/>
          <w:szCs w:val="15"/>
        </w:rPr>
        <w:t xml:space="preserve">Numbers are Geist Mono, tabular and right-aligned. The status colour never travels without its German word.</w:t>
      </w:r>
    </w:p>
    <w:p>
      <w:pPr>
        <w:pStyle w:val="Heading2"/>
        <w:keepNext/>
        <w:keepLines/>
        <w:spacing w:after="100" w:before="300" w:line="280" w:lineRule="auto"/>
      </w:pPr>
      <w:bookmarkStart w:name="_Toc9000004" w:id="4"/>
      <w:r>
        <w:rPr>
          <w:rFonts w:ascii="Plus Jakarta Sans SemiBold" w:cs="Plus Jakarta Sans SemiBold" w:eastAsia="Plus Jakarta Sans SemiBold" w:hAnsi="Plus Jakarta Sans SemiBold"/>
          <w:color w:val="16181A"/>
          <w:spacing w:val="-6"/>
          <w:sz w:val="25"/>
          <w:szCs w:val="25"/>
        </w:rPr>
        <w:t xml:space="preserve">The line</w:t>
      </w:r>
      <w:bookmarkEnd w:id="4"/>
    </w:p>
    <w:p>
      <w:pPr>
        <w:spacing w:after="100" w:before="0" w:line="420" w:lineRule="auto"/>
      </w:pPr>
      <w:r>
        <w:rPr>
          <w:rFonts w:ascii="Plus Jakarta Sans ExtraBold" w:cs="Plus Jakarta Sans ExtraBold" w:eastAsia="Plus Jakarta Sans ExtraBold" w:hAnsi="Plus Jakarta Sans ExtraBold"/>
          <w:color w:val="16181A"/>
          <w:spacing w:val="-20"/>
          <w:sz w:val="36"/>
          <w:szCs w:val="36"/>
        </w:rPr>
        <w:t xml:space="preserve">Ein Projekt. Ein Datensatz.</w:t>
      </w:r>
    </w:p>
    <w:p>
      <w:pPr>
        <w:spacing w:after="160" w:before="0" w:line="300" w:lineRule="auto"/>
      </w:pPr>
      <w:r>
        <w:rPr>
          <w:rFonts w:ascii="Plus Jakarta Sans" w:cs="Plus Jakarta Sans" w:eastAsia="Plus Jakarta Sans" w:hAnsi="Plus Jakarta Sans"/>
          <w:color w:val="53575B"/>
          <w:sz w:val="18"/>
          <w:szCs w:val="18"/>
        </w:rPr>
        <w:t xml:space="preserve">One record — the Leistungsverzeichnis — carries a project from Ausschreibung through Vergabe, Ausführung and Abrechnung to Übergabe. Everything else in this manual is a way of keeping that promise legible. In running copy the line takes German quotes: „Ein Projekt. Ein Datensatz.“</w:t>
      </w:r>
    </w:p>
    <w:p>
      <w:pPr>
        <w:pStyle w:val="Heading1"/>
        <w:keepNext/>
        <w:pageBreakBefore/>
        <w:spacing w:after="60" w:before="0" w:line="320" w:lineRule="auto"/>
      </w:pPr>
      <w:bookmarkStart w:name="_Toc9000005" w:id="5"/>
      <w:r>
        <w:rPr>
          <w:rFonts w:ascii="Geist Mono" w:cs="Geist Mono" w:eastAsia="Geist Mono" w:hAnsi="Geist Mono"/>
          <w:b/>
          <w:bCs/>
          <w:color w:val="8E2222"/>
          <w:spacing w:val="-8"/>
          <w:sz w:val="44"/>
          <w:szCs w:val="44"/>
        </w:rPr>
        <w:t xml:space="preserve">02</w:t>
      </w:r>
      <w:r>
        <w:rPr>
          <w:rFonts w:ascii="Plus Jakarta Sans" w:cs="Plus Jakarta Sans" w:eastAsia="Plus Jakarta Sans" w:hAnsi="Plus Jakarta Sans"/>
          <w:color w:val="16181A"/>
          <w:sz w:val="44"/>
          <w:szCs w:val="44"/>
        </w:rPr>
        <w:t xml:space="preserve">  </w:t>
      </w:r>
      <w:r>
        <w:rPr>
          <w:rFonts w:ascii="Plus Jakarta Sans ExtraBold" w:cs="Plus Jakarta Sans ExtraBold" w:eastAsia="Plus Jakarta Sans ExtraBold" w:hAnsi="Plus Jakarta Sans ExtraBold"/>
          <w:color w:val="16181A"/>
          <w:spacing w:val="-26"/>
          <w:sz w:val="44"/>
          <w:szCs w:val="44"/>
        </w:rPr>
        <w:t xml:space="preserve">Logo</w:t>
      </w:r>
      <w:bookmarkEnd w:id="5"/>
    </w:p>
    <w:p>
      <w:pPr>
        <w:pBdr>
          <w:bottom w:val="single" w:color="E2E3E0" w:sz="6" w:space="1"/>
        </w:pBdr>
        <w:spacing w:after="200" w:before="40" w:line="40" w:lineRule="exact"/>
      </w:pPr>
      <w:r>
        <w:rPr>
          <w:rFonts w:ascii="Plus Jakarta Sans" w:cs="Plus Jakarta Sans" w:eastAsia="Plus Jakarta Sans" w:hAnsi="Plus Jakarta Sans"/>
          <w:color w:val="16181A"/>
          <w:sz w:val="2"/>
          <w:szCs w:val="2"/>
        </w:rPr>
        <w:t xml:space="preserve"/>
      </w:r>
    </w:p>
    <w:p>
      <w:pPr>
        <w:spacing w:after="280" w:before="0" w:line="330" w:lineRule="auto"/>
      </w:pPr>
      <w:r>
        <w:rPr>
          <w:rFonts w:ascii="Plus Jakarta Sans" w:cs="Plus Jakarta Sans" w:eastAsia="Plus Jakarta Sans" w:hAnsi="Plus Jakarta Sans"/>
          <w:color w:val="53575B"/>
          <w:spacing w:val="-1"/>
          <w:sz w:val="22"/>
          <w:szCs w:val="22"/>
        </w:rPr>
        <w:t xml:space="preserve">The mark is a B — two interlocking links, one stroke width, on a 320 × 320 square. On its own, with no tile, it is the logo; the name is separate, ordinary type set at the opposite end of whatever it shares a page with.</w:t>
      </w:r>
    </w:p>
    <w:tbl>
      <w:tblPr>
        <w:tblW w:type="dxa" w:w="9412"/>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
      <w:tblGrid>
        <w:gridCol w:w="9412"/>
      </w:tblGrid>
      <w:tr>
        <w:tc>
          <w:tcPr>
            <w:tcW w:type="dxa" w:w="9412"/>
            <w:tcBorders>
              <w:top w:val="none" w:color="auto" w:sz="0" w:space="0"/>
              <w:left w:val="single" w:color="8E2222" w:sz="12" w:space="0"/>
              <w:bottom w:val="none" w:color="auto" w:sz="0" w:space="0"/>
              <w:right w:val="none" w:color="auto" w:sz="0" w:space="0"/>
            </w:tcBorders>
            <w:shd w:fill="FFEDE9" w:color="auto" w:val="clear"/>
            <w:tcMar>
              <w:top w:type="dxa" w:w="150"/>
              <w:left w:type="dxa" w:w="180"/>
              <w:bottom w:type="dxa" w:w="150"/>
              <w:right w:type="dxa" w:w="180"/>
            </w:tcMar>
          </w:tcPr>
          <w:p>
            <w:pPr>
              <w:spacing w:after="0" w:before="0" w:line="290" w:lineRule="auto"/>
            </w:pPr>
            <w:r>
              <w:rPr>
                <w:rFonts w:ascii="Plus Jakarta Sans SemiBold" w:cs="Plus Jakarta Sans SemiBold" w:eastAsia="Plus Jakarta Sans SemiBold" w:hAnsi="Plus Jakarta Sans SemiBold"/>
                <w:color w:val="16181A"/>
                <w:sz w:val="18"/>
                <w:szCs w:val="18"/>
              </w:rPr>
              <w:t xml:space="preserve">The mark is never redrawn and never distorted. </w:t>
            </w:r>
            <w:r>
              <w:rPr>
                <w:rFonts w:ascii="Plus Jakarta Sans" w:cs="Plus Jakarta Sans" w:eastAsia="Plus Jakarta Sans" w:hAnsi="Plus Jakarta Sans"/>
                <w:color w:val="53575B"/>
                <w:sz w:val="18"/>
                <w:szCs w:val="18"/>
              </w:rPr>
              <w:t xml:space="preserve">What ships is the original artwork lifted to vector — </w:t>
            </w:r>
            <w:r>
              <w:rPr>
                <w:rFonts w:ascii="Geist Mono" w:cs="Geist Mono" w:eastAsia="Geist Mono" w:hAnsi="Geist Mono"/>
                <w:color w:val="16181A"/>
                <w:sz w:val="16"/>
                <w:szCs w:val="16"/>
              </w:rPr>
              <w:t xml:space="preserve">IoU 0.9983</w:t>
            </w:r>
            <w:r>
              <w:rPr>
                <w:rFonts w:ascii="Plus Jakarta Sans" w:cs="Plus Jakarta Sans" w:eastAsia="Plus Jakarta Sans" w:hAnsi="Plus Jakarta Sans"/>
                <w:color w:val="53575B"/>
                <w:sz w:val="18"/>
                <w:szCs w:val="18"/>
              </w:rPr>
              <w:t xml:space="preserve"> against the source raster, aspect exactly </w:t>
            </w:r>
            <w:r>
              <w:rPr>
                <w:rFonts w:ascii="Geist Mono" w:cs="Geist Mono" w:eastAsia="Geist Mono" w:hAnsi="Geist Mono"/>
                <w:color w:val="16181A"/>
                <w:sz w:val="16"/>
                <w:szCs w:val="16"/>
              </w:rPr>
              <w:t xml:space="preserve">1 : 1</w:t>
            </w:r>
            <w:r>
              <w:rPr>
                <w:rFonts w:ascii="Plus Jakarta Sans" w:cs="Plus Jakarta Sans" w:eastAsia="Plus Jakarta Sans" w:hAnsi="Plus Jakarta Sans"/>
                <w:color w:val="53575B"/>
                <w:sz w:val="18"/>
                <w:szCs w:val="18"/>
              </w:rPr>
              <w:t xml:space="preserve"> in every export. Same terminals, same curves, now resolution-independent. Never redraw it, never stretch it, never smooth it.</w:t>
            </w:r>
          </w:p>
        </w:tc>
      </w:tr>
    </w:tbl>
    <w:p>
      <w:pPr>
        <w:spacing w:after="0" w:before="0" w:line="180" w:lineRule="exact"/>
      </w:pPr>
      <w:r>
        <w:rPr>
          <w:rFonts w:ascii="Plus Jakarta Sans" w:cs="Plus Jakarta Sans" w:eastAsia="Plus Jakarta Sans" w:hAnsi="Plus Jakarta Sans"/>
          <w:color w:val="16181A"/>
          <w:sz w:val="2"/>
          <w:szCs w:val="2"/>
        </w:rPr>
        <w:t xml:space="preserve"/>
      </w:r>
    </w:p>
    <w:p>
      <w:pPr>
        <w:pStyle w:val="Heading2"/>
        <w:keepNext/>
        <w:keepLines/>
        <w:spacing w:after="100" w:before="300" w:line="280" w:lineRule="auto"/>
      </w:pPr>
      <w:bookmarkStart w:name="_Toc9000006" w:id="6"/>
      <w:r>
        <w:rPr>
          <w:rFonts w:ascii="Plus Jakarta Sans SemiBold" w:cs="Plus Jakarta Sans SemiBold" w:eastAsia="Plus Jakarta Sans SemiBold" w:hAnsi="Plus Jakarta Sans SemiBold"/>
          <w:color w:val="16181A"/>
          <w:spacing w:val="-6"/>
          <w:sz w:val="25"/>
          <w:szCs w:val="25"/>
        </w:rPr>
        <w:t xml:space="preserve">The mark — this is the logo</w:t>
      </w:r>
      <w:bookmarkEnd w:id="6"/>
    </w:p>
    <w:p>
      <w:pPr>
        <w:spacing w:after="160" w:before="0" w:line="300" w:lineRule="auto"/>
      </w:pPr>
      <w:r>
        <w:rPr>
          <w:rFonts w:ascii="Plus Jakarta Sans" w:cs="Plus Jakarta Sans" w:eastAsia="Plus Jakarta Sans" w:hAnsi="Plus Jakarta Sans"/>
          <w:color w:val="53575B"/>
          <w:sz w:val="18"/>
          <w:szCs w:val="18"/>
        </w:rPr>
        <w:t xml:space="preserve">It stands on its own, with no tile. One file, filled with </w:t>
      </w:r>
      <w:r>
        <w:rPr>
          <w:rFonts w:ascii="Geist Mono" w:cs="Geist Mono" w:eastAsia="Geist Mono" w:hAnsi="Geist Mono"/>
          <w:color w:val="16181A"/>
          <w:sz w:val="16"/>
          <w:szCs w:val="16"/>
        </w:rPr>
        <w:t xml:space="preserve">currentColor</w:t>
      </w:r>
      <w:r>
        <w:rPr>
          <w:rFonts w:ascii="Plus Jakarta Sans" w:cs="Plus Jakarta Sans" w:eastAsia="Plus Jakarta Sans" w:hAnsi="Plus Jakarta Sans"/>
          <w:color w:val="53575B"/>
          <w:sz w:val="18"/>
          <w:szCs w:val="18"/>
        </w:rPr>
        <w:t xml:space="preserve">: near-black </w:t>
      </w:r>
      <w:r>
        <w:rPr>
          <w:rFonts w:ascii="Geist Mono" w:cs="Geist Mono" w:eastAsia="Geist Mono" w:hAnsi="Geist Mono"/>
          <w:color w:val="16181A"/>
          <w:sz w:val="16"/>
          <w:szCs w:val="16"/>
        </w:rPr>
        <w:t xml:space="preserve">#16181A</w:t>
      </w:r>
      <w:r>
        <w:rPr>
          <w:rFonts w:ascii="Plus Jakarta Sans" w:cs="Plus Jakarta Sans" w:eastAsia="Plus Jakarta Sans" w:hAnsi="Plus Jakarta Sans"/>
          <w:color w:val="53575B"/>
          <w:sz w:val="18"/>
          <w:szCs w:val="18"/>
        </w:rPr>
        <w:t xml:space="preserve"> on a light surface, paper </w:t>
      </w:r>
      <w:r>
        <w:rPr>
          <w:rFonts w:ascii="Geist Mono" w:cs="Geist Mono" w:eastAsia="Geist Mono" w:hAnsi="Geist Mono"/>
          <w:color w:val="16181A"/>
          <w:sz w:val="16"/>
          <w:szCs w:val="16"/>
        </w:rPr>
        <w:t xml:space="preserve">#F7F7F5</w:t>
      </w:r>
      <w:r>
        <w:rPr>
          <w:rFonts w:ascii="Plus Jakarta Sans" w:cs="Plus Jakarta Sans" w:eastAsia="Plus Jakarta Sans" w:hAnsi="Plus Jakarta Sans"/>
          <w:color w:val="53575B"/>
          <w:sz w:val="18"/>
          <w:szCs w:val="18"/>
        </w:rPr>
        <w:t xml:space="preserve"> on a dark one. Set the colour once on a parent and both themes are right — there is no second file to keep in step.</w:t>
      </w:r>
    </w:p>
    <w:tbl>
      <w:tblPr>
        <w:tblW w:type="dxa" w:w="9412"/>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
      <w:tblGrid>
        <w:gridCol w:w="4400"/>
        <w:gridCol w:w="612"/>
        <w:gridCol w:w="4400"/>
      </w:tblGrid>
      <w:tr>
        <w:trPr>
          <w:cantSplit/>
        </w:trPr>
        <w:tc>
          <w:tcPr>
            <w:tcW w:type="dxa" w:w="4400"/>
            <w:tcBorders>
              <w:top w:val="single" w:color="E2E3E0" w:sz="4" w:space="1"/>
              <w:left w:val="single" w:color="E2E3E0" w:sz="4" w:space="1"/>
              <w:bottom w:val="single" w:color="E2E3E0" w:sz="4" w:space="1"/>
              <w:right w:val="single" w:color="E2E3E0" w:sz="4" w:space="1"/>
            </w:tcBorders>
            <w:shd w:fill="FFFFFF" w:color="auto" w:val="clear"/>
            <w:tcMar>
              <w:top w:type="dxa" w:w="240"/>
              <w:left w:type="dxa" w:w="160"/>
              <w:bottom w:type="dxa" w:w="240"/>
              <w:right w:type="dxa" w:w="160"/>
            </w:tcMar>
            <w:vAlign w:val="center"/>
          </w:tcPr>
          <w:p>
            <w:pPr>
              <w:keepNext/>
              <w:spacing w:after="100" w:before="0" w:line="240" w:lineRule="auto"/>
              <w:jc w:val="center"/>
            </w:pPr>
            <w:r>
              <w:drawing>
                <wp:inline distT="0" distB="0" distL="0" distR="0">
                  <wp:extent cx="914400" cy="9144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914400" cy="914400"/>
                          </a:xfrm>
                          <a:prstGeom prst="rect">
                            <a:avLst/>
                          </a:prstGeom>
                        </pic:spPr>
                      </pic:pic>
                    </a:graphicData>
                  </a:graphic>
                </wp:inline>
              </w:drawing>
            </w:r>
          </w:p>
          <w:p>
            <w:pPr>
              <w:spacing w:after="0" w:before="0" w:line="240" w:lineRule="auto"/>
              <w:jc w:val="center"/>
            </w:pPr>
            <w:r>
              <w:rPr>
                <w:rFonts w:ascii="Geist Mono" w:cs="Geist Mono" w:eastAsia="Geist Mono" w:hAnsi="Geist Mono"/>
                <w:color w:val="8C9095"/>
                <w:spacing w:val="18"/>
                <w:sz w:val="14"/>
                <w:szCs w:val="14"/>
              </w:rPr>
              <w:t xml:space="preserve">#16181A ON LIGHT</w:t>
            </w:r>
          </w:p>
        </w:tc>
        <w:tc>
          <w:tcPr>
            <w:tcW w:type="dxa" w:w="612"/>
            <w:tcBorders>
              <w:top w:val="none" w:color="auto" w:sz="0" w:space="0"/>
              <w:left w:val="none" w:color="auto" w:sz="0" w:space="0"/>
              <w:bottom w:val="none" w:color="auto" w:sz="0" w:space="0"/>
              <w:right w:val="none" w:color="auto" w:sz="0" w:space="0"/>
            </w:tcBorders>
            <w:tcMar>
              <w:top w:type="dxa" w:w="0"/>
              <w:left w:type="dxa" w:w="0"/>
              <w:bottom w:type="dxa" w:w="0"/>
              <w:right w:type="dxa" w:w="0"/>
            </w:tcMar>
          </w:tcPr>
          <w:p>
            <w:pPr>
              <w:spacing w:after="0" w:before="0" w:line="40" w:lineRule="exact"/>
            </w:pPr>
            <w:r>
              <w:rPr>
                <w:rFonts w:ascii="Plus Jakarta Sans" w:cs="Plus Jakarta Sans" w:eastAsia="Plus Jakarta Sans" w:hAnsi="Plus Jakarta Sans"/>
                <w:color w:val="16181A"/>
                <w:sz w:val="2"/>
                <w:szCs w:val="2"/>
              </w:rPr>
              <w:t xml:space="preserve"/>
            </w:r>
          </w:p>
        </w:tc>
        <w:tc>
          <w:tcPr>
            <w:tcW w:type="dxa" w:w="4400"/>
            <w:tcBorders>
              <w:top w:val="none" w:color="auto" w:sz="0" w:space="0"/>
              <w:left w:val="none" w:color="auto" w:sz="0" w:space="0"/>
              <w:bottom w:val="none" w:color="auto" w:sz="0" w:space="0"/>
              <w:right w:val="none" w:color="auto" w:sz="0" w:space="0"/>
            </w:tcBorders>
            <w:shd w:fill="0B0D10" w:color="auto" w:val="clear"/>
            <w:tcMar>
              <w:top w:type="dxa" w:w="240"/>
              <w:left w:type="dxa" w:w="160"/>
              <w:bottom w:type="dxa" w:w="240"/>
              <w:right w:type="dxa" w:w="160"/>
            </w:tcMar>
            <w:vAlign w:val="center"/>
          </w:tcPr>
          <w:p>
            <w:pPr>
              <w:keepNext/>
              <w:spacing w:after="100" w:before="0" w:line="240" w:lineRule="auto"/>
              <w:jc w:val="center"/>
            </w:pPr>
            <w:r>
              <w:drawing>
                <wp:inline distT="0" distB="0" distL="0" distR="0">
                  <wp:extent cx="914400" cy="9144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914400" cy="914400"/>
                          </a:xfrm>
                          <a:prstGeom prst="rect">
                            <a:avLst/>
                          </a:prstGeom>
                        </pic:spPr>
                      </pic:pic>
                    </a:graphicData>
                  </a:graphic>
                </wp:inline>
              </w:drawing>
            </w:r>
          </w:p>
          <w:p>
            <w:pPr>
              <w:spacing w:after="0" w:before="0" w:line="240" w:lineRule="auto"/>
              <w:jc w:val="center"/>
            </w:pPr>
            <w:r>
              <w:rPr>
                <w:rFonts w:ascii="Geist Mono" w:cs="Geist Mono" w:eastAsia="Geist Mono" w:hAnsi="Geist Mono"/>
                <w:color w:val="9AA0A6"/>
                <w:spacing w:val="18"/>
                <w:sz w:val="14"/>
                <w:szCs w:val="14"/>
              </w:rPr>
              <w:t xml:space="preserve">#F7F7F5 ON DARK</w:t>
            </w:r>
          </w:p>
        </w:tc>
      </w:tr>
    </w:tbl>
    <w:p>
      <w:pPr>
        <w:spacing w:after="200" w:before="100" w:line="260" w:lineRule="auto"/>
      </w:pPr>
      <w:r>
        <w:rPr>
          <w:rFonts w:ascii="Plus Jakarta Sans" w:cs="Plus Jakarta Sans" w:eastAsia="Plus Jakarta Sans" w:hAnsi="Plus Jakarta Sans"/>
          <w:color w:val="53575B"/>
          <w:sz w:val="15"/>
          <w:szCs w:val="15"/>
        </w:rPr>
        <w:t xml:space="preserve">The same drawing on both surfaces — one file, the fill inherited from color. Nothing is redrawn between themes.</w:t>
      </w:r>
    </w:p>
    <w:p>
      <w:pPr>
        <w:spacing w:after="180" w:before="0" w:line="300" w:lineRule="auto"/>
      </w:pPr>
      <w:r>
        <w:rPr>
          <w:rFonts w:ascii="Plus Jakarta Sans" w:cs="Plus Jakarta Sans" w:eastAsia="Plus Jakarta Sans" w:hAnsi="Plus Jakarta Sans"/>
          <w:color w:val="53575B"/>
          <w:sz w:val="18"/>
          <w:szCs w:val="18"/>
        </w:rPr>
        <w:t xml:space="preserve">Minimum </w:t>
      </w:r>
      <w:r>
        <w:rPr>
          <w:rFonts w:ascii="Geist Mono" w:cs="Geist Mono" w:eastAsia="Geist Mono" w:hAnsi="Geist Mono"/>
          <w:color w:val="16181A"/>
          <w:sz w:val="16"/>
          <w:szCs w:val="16"/>
        </w:rPr>
        <w:t xml:space="preserve">20 px</w:t>
      </w:r>
      <w:r>
        <w:rPr>
          <w:rFonts w:ascii="Plus Jakarta Sans" w:cs="Plus Jakarta Sans" w:eastAsia="Plus Jakarta Sans" w:hAnsi="Plus Jakarta Sans"/>
          <w:color w:val="53575B"/>
          <w:sz w:val="18"/>
          <w:szCs w:val="18"/>
        </w:rPr>
        <w:t xml:space="preserve"> — below that the counters close up and the two links read as one blob. Clear space is half the mark’s width on every side, and nothing enters it: no type, no rule, no second mark. Where a slot is smaller than </w:t>
      </w:r>
      <w:r>
        <w:rPr>
          <w:rFonts w:ascii="Geist Mono" w:cs="Geist Mono" w:eastAsia="Geist Mono" w:hAnsi="Geist Mono"/>
          <w:color w:val="16181A"/>
          <w:sz w:val="16"/>
          <w:szCs w:val="16"/>
        </w:rPr>
        <w:t xml:space="preserve">20 px</w:t>
      </w:r>
      <w:r>
        <w:rPr>
          <w:rFonts w:ascii="Plus Jakarta Sans" w:cs="Plus Jakarta Sans" w:eastAsia="Plus Jakarta Sans" w:hAnsi="Plus Jakarta Sans"/>
          <w:color w:val="53575B"/>
          <w:sz w:val="18"/>
          <w:szCs w:val="18"/>
        </w:rPr>
        <w:t xml:space="preserve"> — a favicon, a 16 px tab icon — that is badge territory, not a shrunken mark.</w:t>
      </w:r>
    </w:p>
    <w:p>
      <w:pPr>
        <w:pStyle w:val="Heading2"/>
        <w:keepNext/>
        <w:keepLines/>
        <w:spacing w:after="100" w:before="300" w:line="280" w:lineRule="auto"/>
      </w:pPr>
      <w:bookmarkStart w:name="_Toc9000007" w:id="7"/>
      <w:r>
        <w:rPr>
          <w:rFonts w:ascii="Plus Jakarta Sans SemiBold" w:cs="Plus Jakarta Sans SemiBold" w:eastAsia="Plus Jakarta Sans SemiBold" w:hAnsi="Plus Jakarta Sans SemiBold"/>
          <w:color w:val="16181A"/>
          <w:spacing w:val="-6"/>
          <w:sz w:val="25"/>
          <w:szCs w:val="25"/>
        </w:rPr>
        <w:t xml:space="preserve">The badge — the exception, not the default</w:t>
      </w:r>
      <w:bookmarkEnd w:id="7"/>
    </w:p>
    <w:p>
      <w:pPr>
        <w:spacing w:after="120" w:before="0" w:line="300" w:lineRule="auto"/>
      </w:pPr>
      <w:r>
        <w:rPr>
          <w:rFonts w:ascii="Plus Jakarta Sans" w:cs="Plus Jakarta Sans" w:eastAsia="Plus Jakarta Sans" w:hAnsi="Plus Jakarta Sans"/>
          <w:color w:val="53575B"/>
          <w:sz w:val="18"/>
          <w:szCs w:val="18"/>
        </w:rPr>
        <w:t xml:space="preserve">The mark reversed inside a rounded square. It exists for the three places where the surface behind the logo is not yours to control:</w:t>
      </w:r>
    </w:p>
    <w:p>
      <w:pPr>
        <w:pStyle w:val="ListParagraph"/>
        <w:numPr>
          <w:ilvl w:val="0"/>
          <w:numId w:val="2"/>
        </w:numPr>
        <w:spacing w:after="70" w:before="0" w:line="280" w:lineRule="auto"/>
      </w:pPr>
      <w:r>
        <w:rPr>
          <w:rFonts w:ascii="Plus Jakarta Sans SemiBold" w:cs="Plus Jakarta Sans SemiBold" w:eastAsia="Plus Jakarta Sans SemiBold" w:hAnsi="Plus Jakarta Sans SemiBold"/>
          <w:color w:val="16181A"/>
          <w:sz w:val="18"/>
          <w:szCs w:val="18"/>
        </w:rPr>
        <w:t xml:space="preserve">Favicons, app icons and the PWA tile</w:t>
      </w:r>
      <w:r>
        <w:rPr>
          <w:rFonts w:ascii="Plus Jakarta Sans" w:cs="Plus Jakarta Sans" w:eastAsia="Plus Jakarta Sans" w:hAnsi="Plus Jakarta Sans"/>
          <w:color w:val="53575B"/>
          <w:sz w:val="18"/>
          <w:szCs w:val="18"/>
        </w:rPr>
        <w:t xml:space="preserve"> — dropped onto browser chrome and OS docks.</w:t>
      </w:r>
    </w:p>
    <w:p>
      <w:pPr>
        <w:pStyle w:val="ListParagraph"/>
        <w:numPr>
          <w:ilvl w:val="0"/>
          <w:numId w:val="2"/>
        </w:numPr>
        <w:spacing w:after="70" w:before="0" w:line="280" w:lineRule="auto"/>
      </w:pPr>
      <w:r>
        <w:rPr>
          <w:rFonts w:ascii="Plus Jakarta Sans SemiBold" w:cs="Plus Jakarta Sans SemiBold" w:eastAsia="Plus Jakarta Sans SemiBold" w:hAnsi="Plus Jakarta Sans SemiBold"/>
          <w:color w:val="16181A"/>
          <w:sz w:val="18"/>
          <w:szCs w:val="18"/>
        </w:rPr>
        <w:t xml:space="preserve">Avatars</w:t>
      </w:r>
      <w:r>
        <w:rPr>
          <w:rFonts w:ascii="Plus Jakarta Sans" w:cs="Plus Jakarta Sans" w:eastAsia="Plus Jakarta Sans" w:hAnsi="Plus Jakarta Sans"/>
          <w:color w:val="53575B"/>
          <w:sz w:val="18"/>
          <w:szCs w:val="18"/>
        </w:rPr>
        <w:t xml:space="preserve"> — inside a circle, beside user photos.</w:t>
      </w:r>
    </w:p>
    <w:p>
      <w:pPr>
        <w:pStyle w:val="ListParagraph"/>
        <w:numPr>
          <w:ilvl w:val="0"/>
          <w:numId w:val="2"/>
        </w:numPr>
        <w:spacing w:after="140" w:before="0" w:line="280" w:lineRule="auto"/>
      </w:pPr>
      <w:r>
        <w:rPr>
          <w:rFonts w:ascii="Plus Jakarta Sans SemiBold" w:cs="Plus Jakarta Sans SemiBold" w:eastAsia="Plus Jakarta Sans SemiBold" w:hAnsi="Plus Jakarta Sans SemiBold"/>
          <w:color w:val="16181A"/>
          <w:sz w:val="18"/>
          <w:szCs w:val="18"/>
        </w:rPr>
        <w:t xml:space="preserve">Over photography</w:t>
      </w:r>
      <w:r>
        <w:rPr>
          <w:rFonts w:ascii="Plus Jakarta Sans" w:cs="Plus Jakarta Sans" w:eastAsia="Plus Jakarta Sans" w:hAnsi="Plus Jakarta Sans"/>
          <w:color w:val="53575B"/>
          <w:sz w:val="18"/>
          <w:szCs w:val="18"/>
        </w:rPr>
        <w:t xml:space="preserve"> — where a bare mark would sit on unpredictable pixels.</w:t>
      </w:r>
    </w:p>
    <w:p>
      <w:pPr>
        <w:spacing w:after="180" w:before="0" w:line="300" w:lineRule="auto"/>
      </w:pPr>
      <w:r>
        <w:rPr>
          <w:rFonts w:ascii="Plus Jakarta Sans" w:cs="Plus Jakarta Sans" w:eastAsia="Plus Jakarta Sans" w:hAnsi="Plus Jakarta Sans"/>
          <w:color w:val="53575B"/>
          <w:sz w:val="18"/>
          <w:szCs w:val="18"/>
        </w:rPr>
        <w:t xml:space="preserve">Anywhere else — any solid light or dark surface, including every page of this document — use the bare mark. A tile on a background you already control adds a shape the brand does not own.</w:t>
      </w:r>
    </w:p>
    <w:p>
      <w:pPr>
        <w:keepNext/>
        <w:spacing w:after="30" w:before="40" w:line="240" w:lineRule="auto"/>
        <w:jc w:val="left"/>
      </w:pPr>
      <w:r>
        <w:drawing>
          <wp:inline distT="0" distB="0" distL="0" distR="0">
            <wp:extent cx="838200" cy="8382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838200" cy="838200"/>
                    </a:xfrm>
                    <a:prstGeom prst="rect">
                      <a:avLst/>
                    </a:prstGeom>
                  </pic:spPr>
                </pic:pic>
              </a:graphicData>
            </a:graphic>
          </wp:inline>
        </w:drawing>
      </w:r>
    </w:p>
    <w:p>
      <w:pPr>
        <w:spacing w:after="170" w:before="60" w:line="260" w:lineRule="auto"/>
      </w:pPr>
      <w:r>
        <w:rPr>
          <w:rFonts w:ascii="Plus Jakarta Sans" w:cs="Plus Jakarta Sans" w:eastAsia="Plus Jakarta Sans" w:hAnsi="Plus Jakarta Sans"/>
          <w:color w:val="53575B"/>
          <w:sz w:val="15"/>
          <w:szCs w:val="15"/>
        </w:rPr>
        <w:t xml:space="preserve">Default badge — #0B0D10 tile, mark in #F7F7F5. Favicons, app icons, the PWA tile, and any mark that has to sit over photography.</w:t>
      </w:r>
    </w:p>
    <w:p>
      <w:pPr>
        <w:keepNext/>
        <w:spacing w:after="30" w:before="40" w:line="240" w:lineRule="auto"/>
        <w:jc w:val="left"/>
      </w:pPr>
      <w:r>
        <w:drawing>
          <wp:inline distT="0" distB="0" distL="0" distR="0">
            <wp:extent cx="838200" cy="8382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838200" cy="838200"/>
                    </a:xfrm>
                    <a:prstGeom prst="rect">
                      <a:avLst/>
                    </a:prstGeom>
                  </pic:spPr>
                </pic:pic>
              </a:graphicData>
            </a:graphic>
          </wp:inline>
        </w:drawing>
      </w:r>
    </w:p>
    <w:p>
      <w:pPr>
        <w:spacing w:after="170" w:before="60" w:line="260" w:lineRule="auto"/>
      </w:pPr>
      <w:r>
        <w:rPr>
          <w:rFonts w:ascii="Plus Jakarta Sans" w:cs="Plus Jakarta Sans" w:eastAsia="Plus Jakarta Sans" w:hAnsi="Plus Jakarta Sans"/>
          <w:color w:val="53575B"/>
          <w:sz w:val="15"/>
          <w:szCs w:val="15"/>
        </w:rPr>
        <w:t xml:space="preserve">Red badge — #8E2222 tile, mark reversed. App icon and avatars only. Nowhere else.</w:t>
      </w:r>
    </w:p>
    <w:p>
      <w:pPr>
        <w:keepNext/>
        <w:spacing w:after="30" w:before="40" w:line="240" w:lineRule="auto"/>
        <w:jc w:val="left"/>
      </w:pPr>
      <w:r>
        <w:drawing>
          <wp:inline distT="0" distB="0" distL="0" distR="0">
            <wp:extent cx="838200" cy="8382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838200" cy="838200"/>
                    </a:xfrm>
                    <a:prstGeom prst="rect">
                      <a:avLst/>
                    </a:prstGeom>
                  </pic:spPr>
                </pic:pic>
              </a:graphicData>
            </a:graphic>
          </wp:inline>
        </w:drawing>
      </w:r>
    </w:p>
    <w:p>
      <w:pPr>
        <w:spacing w:after="180" w:before="60" w:line="260" w:lineRule="auto"/>
      </w:pPr>
      <w:r>
        <w:rPr>
          <w:rFonts w:ascii="Plus Jakarta Sans" w:cs="Plus Jakarta Sans" w:eastAsia="Plus Jakarta Sans" w:hAnsi="Plus Jakarta Sans"/>
          <w:color w:val="53575B"/>
          <w:sz w:val="15"/>
          <w:szCs w:val="15"/>
        </w:rPr>
        <w:t xml:space="preserve">Hairline badge — white tile, #E2E3E0 border, mark in #16181A. For the same three cases on light or busy imagery, where the dark tile would compete.</w:t>
      </w:r>
    </w:p>
    <w:p>
      <w:pPr>
        <w:spacing w:after="140" w:before="0" w:line="300" w:lineRule="auto"/>
      </w:pPr>
      <w:r>
        <w:rPr>
          <w:rFonts w:ascii="Plus Jakarta Sans" w:cs="Plus Jakarta Sans" w:eastAsia="Plus Jakarta Sans" w:hAnsi="Plus Jakarta Sans"/>
          <w:color w:val="53575B"/>
          <w:sz w:val="18"/>
          <w:szCs w:val="18"/>
        </w:rPr>
        <w:t xml:space="preserve">Tile and mark are one drawing, not an icon glued onto a background. Corner radius is </w:t>
      </w:r>
      <w:r>
        <w:rPr>
          <w:rFonts w:ascii="Geist Mono" w:cs="Geist Mono" w:eastAsia="Geist Mono" w:hAnsi="Geist Mono"/>
          <w:color w:val="16181A"/>
          <w:sz w:val="16"/>
          <w:szCs w:val="16"/>
        </w:rPr>
        <w:t xml:space="preserve">23.5%</w:t>
      </w:r>
      <w:r>
        <w:rPr>
          <w:rFonts w:ascii="Plus Jakarta Sans" w:cs="Plus Jakarta Sans" w:eastAsia="Plus Jakarta Sans" w:hAnsi="Plus Jakarta Sans"/>
          <w:color w:val="53575B"/>
          <w:sz w:val="18"/>
          <w:szCs w:val="18"/>
        </w:rPr>
        <w:t xml:space="preserve"> of the side; the mark insets </w:t>
      </w:r>
      <w:r>
        <w:rPr>
          <w:rFonts w:ascii="Geist Mono" w:cs="Geist Mono" w:eastAsia="Geist Mono" w:hAnsi="Geist Mono"/>
          <w:color w:val="16181A"/>
          <w:sz w:val="16"/>
          <w:szCs w:val="16"/>
        </w:rPr>
        <w:t xml:space="preserve">22%</w:t>
      </w:r>
      <w:r>
        <w:rPr>
          <w:rFonts w:ascii="Plus Jakarta Sans" w:cs="Plus Jakarta Sans" w:eastAsia="Plus Jakarta Sans" w:hAnsi="Plus Jakarta Sans"/>
          <w:color w:val="53575B"/>
          <w:sz w:val="18"/>
          <w:szCs w:val="18"/>
        </w:rPr>
        <w:t xml:space="preserve"> on every edge, which puts it at </w:t>
      </w:r>
      <w:r>
        <w:rPr>
          <w:rFonts w:ascii="Geist Mono" w:cs="Geist Mono" w:eastAsia="Geist Mono" w:hAnsi="Geist Mono"/>
          <w:color w:val="16181A"/>
          <w:sz w:val="16"/>
          <w:szCs w:val="16"/>
        </w:rPr>
        <w:t xml:space="preserve">56%</w:t>
      </w:r>
      <w:r>
        <w:rPr>
          <w:rFonts w:ascii="Plus Jakarta Sans" w:cs="Plus Jakarta Sans" w:eastAsia="Plus Jakarta Sans" w:hAnsi="Plus Jakarta Sans"/>
          <w:color w:val="53575B"/>
          <w:sz w:val="18"/>
          <w:szCs w:val="18"/>
        </w:rPr>
        <w:t xml:space="preserve"> of the tile — no separate boundary to add on top; that inset is the only one the mark needs. Below </w:t>
      </w:r>
      <w:r>
        <w:rPr>
          <w:rFonts w:ascii="Geist Mono" w:cs="Geist Mono" w:eastAsia="Geist Mono" w:hAnsi="Geist Mono"/>
          <w:color w:val="16181A"/>
          <w:sz w:val="16"/>
          <w:szCs w:val="16"/>
        </w:rPr>
        <w:t xml:space="preserve">18px</w:t>
      </w:r>
      <w:r>
        <w:rPr>
          <w:rFonts w:ascii="Plus Jakarta Sans" w:cs="Plus Jakarta Sans" w:eastAsia="Plus Jakarta Sans" w:hAnsi="Plus Jakarta Sans"/>
          <w:color w:val="53575B"/>
          <w:sz w:val="18"/>
          <w:szCs w:val="18"/>
        </w:rPr>
        <w:t xml:space="preserve"> even the tile stops resolving.</w:t>
      </w:r>
    </w:p>
    <w:p>
      <w:pPr>
        <w:spacing w:after="180" w:before="0" w:line="300" w:lineRule="auto"/>
      </w:pPr>
      <w:r>
        <w:rPr>
          <w:rFonts w:ascii="Plus Jakarta Sans" w:cs="Plus Jakarta Sans" w:eastAsia="Plus Jakarta Sans" w:hAnsi="Plus Jakarta Sans"/>
          <w:color w:val="53575B"/>
          <w:sz w:val="18"/>
          <w:szCs w:val="18"/>
        </w:rPr>
        <w:t xml:space="preserve">The knockout file is a single shape cut with an evenodd fill rule: the mark itself is a hole through the tile, not a second colour painted on top of it. Whatever sits behind the badge shows through that hole. One colour is therefore correct on every canvas — light, dark, an app icon — and the mark can never vanish into its own tile.</w:t>
      </w:r>
    </w:p>
    <w:p>
      <w:pPr>
        <w:pStyle w:val="Heading2"/>
        <w:keepNext/>
        <w:keepLines/>
        <w:spacing w:after="100" w:before="300" w:line="280" w:lineRule="auto"/>
      </w:pPr>
      <w:bookmarkStart w:name="_Toc9000008" w:id="8"/>
      <w:r>
        <w:rPr>
          <w:rFonts w:ascii="Plus Jakarta Sans SemiBold" w:cs="Plus Jakarta Sans SemiBold" w:eastAsia="Plus Jakarta Sans SemiBold" w:hAnsi="Plus Jakarta Sans SemiBold"/>
          <w:color w:val="16181A"/>
          <w:spacing w:val="-6"/>
          <w:sz w:val="25"/>
          <w:szCs w:val="25"/>
        </w:rPr>
        <w:t xml:space="preserve">Construction</w:t>
      </w:r>
      <w:bookmarkEnd w:id="8"/>
    </w:p>
    <w:p>
      <w:pPr>
        <w:spacing w:after="160" w:before="0" w:line="300" w:lineRule="auto"/>
      </w:pPr>
      <w:r>
        <w:rPr>
          <w:rFonts w:ascii="Plus Jakarta Sans" w:cs="Plus Jakarta Sans" w:eastAsia="Plus Jakarta Sans" w:hAnsi="Plus Jakarta Sans"/>
          <w:color w:val="53575B"/>
          <w:sz w:val="18"/>
          <w:szCs w:val="18"/>
        </w:rPr>
        <w:t xml:space="preserve">These ratios are the logo. Change one and it is no longer the logo.</w:t>
      </w:r>
    </w:p>
    <w:p>
      <w:pPr>
        <w:pStyle w:val="Heading3"/>
        <w:keepNext/>
        <w:keepLines/>
        <w:spacing w:after="70" w:before="60" w:line="260" w:lineRule="auto"/>
      </w:pPr>
      <w:r>
        <w:rPr>
          <w:rFonts w:ascii="Plus Jakarta Sans SemiBold" w:cs="Plus Jakarta Sans SemiBold" w:eastAsia="Plus Jakarta Sans SemiBold" w:hAnsi="Plus Jakarta Sans SemiBold"/>
          <w:color w:val="16181A"/>
          <w:spacing w:val="-4"/>
          <w:sz w:val="20"/>
          <w:szCs w:val="20"/>
        </w:rPr>
        <w:t xml:space="preserve">The mark</w:t>
      </w:r>
    </w:p>
    <w:tbl>
      <w:tblPr>
        <w:tblW w:type="dxa" w:w="9412"/>
        <w:tblBorders>
          <w:top w:val="single" w:color="E2E3E0" w:sz="6" w:space="1"/>
          <w:left w:val="none" w:color="auto" w:sz="0" w:space="0"/>
          <w:bottom w:val="single" w:color="E2E3E0" w:sz="6" w:space="1"/>
          <w:right w:val="none" w:color="auto" w:sz="0" w:space="0"/>
          <w:insideH w:val="single" w:color="E2E3E0" w:sz="4" w:space="1"/>
          <w:insideV w:val="none" w:color="auto" w:sz="0" w:space="0"/>
        </w:tblBorders>
        <w:tblLayout w:type="fixed"/>
      </w:tblPr>
      <w:tblGrid>
        <w:gridCol w:w="2400"/>
        <w:gridCol w:w="1900"/>
        <w:gridCol w:w="5112"/>
      </w:tblGrid>
      <w:tr>
        <w:trPr>
          <w:cantSplit/>
          <w:tblHeader/>
        </w:trPr>
        <w:tc>
          <w:tcPr>
            <w:tcW w:type="dxa" w:w="240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Measure</w:t>
            </w:r>
          </w:p>
        </w:tc>
        <w:tc>
          <w:tcPr>
            <w:tcW w:type="dxa" w:w="190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Value</w:t>
            </w:r>
          </w:p>
        </w:tc>
        <w:tc>
          <w:tcPr>
            <w:tcW w:type="dxa" w:w="5112"/>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Note</w:t>
            </w:r>
          </w:p>
        </w:tc>
      </w:tr>
      <w:tr>
        <w:trPr>
          <w:cantSplit/>
        </w:trPr>
        <w:tc>
          <w:tcPr>
            <w:tcW w:type="dxa" w:w="2400"/>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Aspect</w:t>
            </w:r>
          </w:p>
        </w:tc>
        <w:tc>
          <w:tcPr>
            <w:tcW w:type="dxa" w:w="19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1 : 1</w:t>
            </w:r>
          </w:p>
        </w:tc>
        <w:tc>
          <w:tcPr>
            <w:tcW w:type="dxa" w:w="51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A true square in every export. Scale uniformly or not at all.</w:t>
            </w:r>
          </w:p>
        </w:tc>
      </w:tr>
      <w:tr>
        <w:trPr>
          <w:cantSplit/>
        </w:trPr>
        <w:tc>
          <w:tcPr>
            <w:tcW w:type="dxa" w:w="2400"/>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Minimum size</w:t>
            </w:r>
          </w:p>
        </w:tc>
        <w:tc>
          <w:tcPr>
            <w:tcW w:type="dxa" w:w="19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20 px</w:t>
            </w:r>
          </w:p>
        </w:tc>
        <w:tc>
          <w:tcPr>
            <w:tcW w:type="dxa" w:w="51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Below this the counters close up. Switch to the badge, do not shrink the mark.</w:t>
            </w:r>
          </w:p>
        </w:tc>
      </w:tr>
      <w:tr>
        <w:trPr>
          <w:cantSplit/>
        </w:trPr>
        <w:tc>
          <w:tcPr>
            <w:tcW w:type="dxa" w:w="2400"/>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Clear space</w:t>
            </w:r>
          </w:p>
        </w:tc>
        <w:tc>
          <w:tcPr>
            <w:tcW w:type="dxa" w:w="19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50 %</w:t>
            </w:r>
          </w:p>
        </w:tc>
        <w:tc>
          <w:tcPr>
            <w:tcW w:type="dxa" w:w="51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Half the mark’s width on every side. Nothing enters it.</w:t>
            </w:r>
          </w:p>
        </w:tc>
      </w:tr>
      <w:tr>
        <w:trPr>
          <w:cantSplit/>
        </w:trPr>
        <w:tc>
          <w:tcPr>
            <w:tcW w:type="dxa" w:w="2400"/>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Fill</w:t>
            </w:r>
          </w:p>
        </w:tc>
        <w:tc>
          <w:tcPr>
            <w:tcW w:type="dxa" w:w="19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currentColor</w:t>
            </w:r>
          </w:p>
        </w:tc>
        <w:tc>
          <w:tcPr>
            <w:tcW w:type="dxa" w:w="51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#16181A on light, #F7F7F5 on dark. One file, colour set once.</w:t>
            </w:r>
          </w:p>
        </w:tc>
      </w:tr>
    </w:tbl>
    <w:p>
      <w:pPr>
        <w:pStyle w:val="Heading3"/>
        <w:keepNext/>
        <w:keepLines/>
        <w:spacing w:after="70" w:before="220" w:line="260" w:lineRule="auto"/>
      </w:pPr>
      <w:r>
        <w:rPr>
          <w:rFonts w:ascii="Plus Jakarta Sans SemiBold" w:cs="Plus Jakarta Sans SemiBold" w:eastAsia="Plus Jakarta Sans SemiBold" w:hAnsi="Plus Jakarta Sans SemiBold"/>
          <w:color w:val="16181A"/>
          <w:spacing w:val="-4"/>
          <w:sz w:val="20"/>
          <w:szCs w:val="20"/>
        </w:rPr>
        <w:t xml:space="preserve">The badge</w:t>
      </w:r>
    </w:p>
    <w:tbl>
      <w:tblPr>
        <w:tblW w:type="dxa" w:w="9412"/>
        <w:tblBorders>
          <w:top w:val="single" w:color="E2E3E0" w:sz="6" w:space="1"/>
          <w:left w:val="none" w:color="auto" w:sz="0" w:space="0"/>
          <w:bottom w:val="single" w:color="E2E3E0" w:sz="6" w:space="1"/>
          <w:right w:val="none" w:color="auto" w:sz="0" w:space="0"/>
          <w:insideH w:val="single" w:color="E2E3E0" w:sz="4" w:space="1"/>
          <w:insideV w:val="none" w:color="auto" w:sz="0" w:space="0"/>
        </w:tblBorders>
        <w:tblLayout w:type="fixed"/>
      </w:tblPr>
      <w:tblGrid>
        <w:gridCol w:w="2400"/>
        <w:gridCol w:w="1900"/>
        <w:gridCol w:w="5112"/>
      </w:tblGrid>
      <w:tr>
        <w:trPr>
          <w:cantSplit/>
          <w:tblHeader/>
        </w:trPr>
        <w:tc>
          <w:tcPr>
            <w:tcW w:type="dxa" w:w="240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Measure</w:t>
            </w:r>
          </w:p>
        </w:tc>
        <w:tc>
          <w:tcPr>
            <w:tcW w:type="dxa" w:w="190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Value</w:t>
            </w:r>
          </w:p>
        </w:tc>
        <w:tc>
          <w:tcPr>
            <w:tcW w:type="dxa" w:w="5112"/>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Note</w:t>
            </w:r>
          </w:p>
        </w:tc>
      </w:tr>
      <w:tr>
        <w:trPr>
          <w:cantSplit/>
        </w:trPr>
        <w:tc>
          <w:tcPr>
            <w:tcW w:type="dxa" w:w="2400"/>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Tile</w:t>
            </w:r>
          </w:p>
        </w:tc>
        <w:tc>
          <w:tcPr>
            <w:tcW w:type="dxa" w:w="19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Square, 1 : 1</w:t>
            </w:r>
          </w:p>
        </w:tc>
        <w:tc>
          <w:tcPr>
            <w:tcW w:type="dxa" w:w="51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Never distort it — scale uniformly or not at all.</w:t>
            </w:r>
          </w:p>
        </w:tc>
      </w:tr>
      <w:tr>
        <w:trPr>
          <w:cantSplit/>
        </w:trPr>
        <w:tc>
          <w:tcPr>
            <w:tcW w:type="dxa" w:w="2400"/>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Tile corner radius</w:t>
            </w:r>
          </w:p>
        </w:tc>
        <w:tc>
          <w:tcPr>
            <w:tcW w:type="dxa" w:w="19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23.5 %</w:t>
            </w:r>
          </w:p>
        </w:tc>
        <w:tc>
          <w:tcPr>
            <w:tcW w:type="dxa" w:w="51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Of the side.</w:t>
            </w:r>
          </w:p>
        </w:tc>
      </w:tr>
      <w:tr>
        <w:trPr>
          <w:cantSplit/>
        </w:trPr>
        <w:tc>
          <w:tcPr>
            <w:tcW w:type="dxa" w:w="2400"/>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Mark inset</w:t>
            </w:r>
          </w:p>
        </w:tc>
        <w:tc>
          <w:tcPr>
            <w:tcW w:type="dxa" w:w="19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22 % each side</w:t>
            </w:r>
          </w:p>
        </w:tc>
        <w:tc>
          <w:tcPr>
            <w:tcW w:type="dxa" w:w="51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So the mark is 56 % of the tile.</w:t>
            </w:r>
          </w:p>
        </w:tc>
      </w:tr>
      <w:tr>
        <w:trPr>
          <w:cantSplit/>
        </w:trPr>
        <w:tc>
          <w:tcPr>
            <w:tcW w:type="dxa" w:w="2400"/>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Minimum size</w:t>
            </w:r>
          </w:p>
        </w:tc>
        <w:tc>
          <w:tcPr>
            <w:tcW w:type="dxa" w:w="19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18 px</w:t>
            </w:r>
          </w:p>
        </w:tc>
        <w:tc>
          <w:tcPr>
            <w:tcW w:type="dxa" w:w="51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Below this the tile radius and mark inset stop reading.</w:t>
            </w:r>
          </w:p>
        </w:tc>
      </w:tr>
      <w:tr>
        <w:trPr>
          <w:cantSplit/>
        </w:trPr>
        <w:tc>
          <w:tcPr>
            <w:tcW w:type="dxa" w:w="2400"/>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Default fill</w:t>
            </w:r>
          </w:p>
        </w:tc>
        <w:tc>
          <w:tcPr>
            <w:tcW w:type="dxa" w:w="19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#0B0D10</w:t>
            </w:r>
          </w:p>
        </w:tc>
        <w:tc>
          <w:tcPr>
            <w:tcW w:type="dxa" w:w="51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Mark in #F7F7F5. Favicons, app icons, over photography.</w:t>
            </w:r>
          </w:p>
        </w:tc>
      </w:tr>
      <w:tr>
        <w:trPr>
          <w:cantSplit/>
        </w:trPr>
        <w:tc>
          <w:tcPr>
            <w:tcW w:type="dxa" w:w="2400"/>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App icon, avatar</w:t>
            </w:r>
          </w:p>
        </w:tc>
        <w:tc>
          <w:tcPr>
            <w:tcW w:type="dxa" w:w="19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#8E2222</w:t>
            </w:r>
          </w:p>
        </w:tc>
        <w:tc>
          <w:tcPr>
            <w:tcW w:type="dxa" w:w="51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Mark reversed. Nowhere else.</w:t>
            </w:r>
          </w:p>
        </w:tc>
      </w:tr>
      <w:tr>
        <w:trPr>
          <w:cantSplit/>
        </w:trPr>
        <w:tc>
          <w:tcPr>
            <w:tcW w:type="dxa" w:w="2400"/>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Light or busy</w:t>
            </w:r>
          </w:p>
        </w:tc>
        <w:tc>
          <w:tcPr>
            <w:tcW w:type="dxa" w:w="19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#FFFFFF</w:t>
            </w:r>
          </w:p>
        </w:tc>
        <w:tc>
          <w:tcPr>
            <w:tcW w:type="dxa" w:w="51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With an #E2E3E0 hairline, mark in #16181A.</w:t>
            </w:r>
          </w:p>
        </w:tc>
      </w:tr>
    </w:tbl>
    <w:p>
      <w:pPr>
        <w:pStyle w:val="Heading2"/>
        <w:keepNext/>
        <w:keepLines/>
        <w:spacing w:after="100" w:before="300" w:line="280" w:lineRule="auto"/>
      </w:pPr>
      <w:bookmarkStart w:name="_Toc9000009" w:id="9"/>
      <w:r>
        <w:rPr>
          <w:rFonts w:ascii="Plus Jakarta Sans SemiBold" w:cs="Plus Jakarta Sans SemiBold" w:eastAsia="Plus Jakarta Sans SemiBold" w:hAnsi="Plus Jakarta Sans SemiBold"/>
          <w:color w:val="16181A"/>
          <w:spacing w:val="-6"/>
          <w:sz w:val="25"/>
          <w:szCs w:val="25"/>
        </w:rPr>
        <w:t xml:space="preserve">The name</w:t>
      </w:r>
      <w:bookmarkEnd w:id="9"/>
    </w:p>
    <w:p>
      <w:pPr>
        <w:keepNext/>
        <w:spacing w:after="140" w:before="0" w:line="300" w:lineRule="auto"/>
      </w:pPr>
      <w:r>
        <w:rPr>
          <w:rFonts w:ascii="Plus Jakarta Sans" w:cs="Plus Jakarta Sans" w:eastAsia="Plus Jakarta Sans" w:hAnsi="Plus Jakarta Sans"/>
          <w:color w:val="53575B"/>
          <w:sz w:val="18"/>
          <w:szCs w:val="18"/>
        </w:rPr>
        <w:t xml:space="preserve">Not artwork — ordinary type, set at the far end of whatever surface the mark anchors. Two weights, chosen by size.</w:t>
      </w:r>
    </w:p>
    <w:p>
      <w:pPr>
        <w:keepNext/>
        <w:spacing w:after="30" w:before="40" w:line="240" w:lineRule="auto"/>
        <w:jc w:val="left"/>
      </w:pPr>
      <w:r>
        <w:drawing>
          <wp:inline distT="0" distB="0" distL="0" distR="0">
            <wp:extent cx="2428875" cy="5810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2428875" cy="581025"/>
                    </a:xfrm>
                    <a:prstGeom prst="rect">
                      <a:avLst/>
                    </a:prstGeom>
                  </pic:spPr>
                </pic:pic>
              </a:graphicData>
            </a:graphic>
          </wp:inline>
        </w:drawing>
      </w:r>
    </w:p>
    <w:p>
      <w:pPr>
        <w:spacing w:after="180" w:before="60" w:line="260" w:lineRule="auto"/>
      </w:pPr>
      <w:r>
        <w:rPr>
          <w:rFonts w:ascii="Plus Jakarta Sans" w:cs="Plus Jakarta Sans" w:eastAsia="Plus Jakarta Sans" w:hAnsi="Plus Jakarta Sans"/>
          <w:color w:val="53575B"/>
          <w:sz w:val="15"/>
          <w:szCs w:val="15"/>
        </w:rPr>
        <w:t xml:space="preserve">The name, weight 800, tracking −0.030 em — set at 28 px and up: covers, slide titles, the website hero.</w:t>
      </w:r>
    </w:p>
    <w:p>
      <w:pPr>
        <w:keepNext/>
        <w:spacing w:after="30" w:before="40" w:line="240" w:lineRule="auto"/>
        <w:jc w:val="left"/>
      </w:pPr>
      <w:r>
        <w:drawing>
          <wp:inline distT="0" distB="0" distL="0" distR="0">
            <wp:extent cx="2076450" cy="485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2076450" cy="485775"/>
                    </a:xfrm>
                    <a:prstGeom prst="rect">
                      <a:avLst/>
                    </a:prstGeom>
                  </pic:spPr>
                </pic:pic>
              </a:graphicData>
            </a:graphic>
          </wp:inline>
        </w:drawing>
      </w:r>
    </w:p>
    <w:p>
      <w:pPr>
        <w:spacing w:after="200" w:before="60" w:line="260" w:lineRule="auto"/>
      </w:pPr>
      <w:r>
        <w:rPr>
          <w:rFonts w:ascii="Plus Jakarta Sans" w:cs="Plus Jakarta Sans" w:eastAsia="Plus Jakarta Sans" w:hAnsi="Plus Jakarta Sans"/>
          <w:color w:val="53575B"/>
          <w:sz w:val="15"/>
          <w:szCs w:val="15"/>
        </w:rPr>
        <w:t xml:space="preserve">The name, weight 700, tracking −0.012 em — set below 28 px: app headers, footers, captions.</w:t>
      </w:r>
    </w:p>
    <w:p>
      <w:pPr>
        <w:pStyle w:val="Heading2"/>
        <w:keepNext/>
        <w:keepLines/>
        <w:spacing w:after="100" w:before="300" w:line="280" w:lineRule="auto"/>
      </w:pPr>
      <w:bookmarkStart w:name="_Toc9000010" w:id="10"/>
      <w:r>
        <w:rPr>
          <w:rFonts w:ascii="Plus Jakarta Sans SemiBold" w:cs="Plus Jakarta Sans SemiBold" w:eastAsia="Plus Jakarta Sans SemiBold" w:hAnsi="Plus Jakarta Sans SemiBold"/>
          <w:color w:val="16181A"/>
          <w:spacing w:val="-6"/>
          <w:sz w:val="25"/>
          <w:szCs w:val="25"/>
        </w:rPr>
        <w:t xml:space="preserve">Rules</w:t>
      </w:r>
      <w:bookmarkEnd w:id="10"/>
    </w:p>
    <w:tbl>
      <w:tblPr>
        <w:tblW w:type="dxa" w:w="9412"/>
        <w:tblBorders>
          <w:top w:val="single" w:color="E2E3E0" w:sz="6" w:space="1"/>
          <w:left w:val="none" w:color="auto" w:sz="0" w:space="0"/>
          <w:bottom w:val="single" w:color="E2E3E0" w:sz="6" w:space="1"/>
          <w:right w:val="none" w:color="auto" w:sz="0" w:space="0"/>
          <w:insideH w:val="none" w:color="auto" w:sz="0" w:space="0"/>
          <w:insideV w:val="none" w:color="auto" w:sz="0" w:space="0"/>
        </w:tblBorders>
        <w:tblLayout w:type="fixed"/>
      </w:tblPr>
      <w:tblGrid>
        <w:gridCol w:w="4706"/>
        <w:gridCol w:w="4706"/>
      </w:tblGrid>
      <w:tr>
        <w:trPr>
          <w:cantSplit/>
          <w:tblHeader/>
        </w:trPr>
        <w:tc>
          <w:tcPr>
            <w:tcW w:type="dxa" w:w="4706"/>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Do</w:t>
            </w:r>
          </w:p>
        </w:tc>
        <w:tc>
          <w:tcPr>
            <w:tcW w:type="dxa" w:w="4706"/>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Don’t</w:t>
            </w:r>
          </w:p>
        </w:tc>
      </w:tr>
      <w:tr>
        <w:tc>
          <w:tcPr>
            <w:tcW w:type="dxa" w:w="4706"/>
            <w:tcMar>
              <w:top w:type="dxa" w:w="130"/>
              <w:left w:type="dxa" w:w="90"/>
              <w:bottom w:type="dxa" w:w="130"/>
              <w:right w:type="dxa" w:w="260"/>
            </w:tcMar>
            <w:vAlign w:val="top"/>
          </w:tcPr>
          <w:p>
            <w:pPr>
              <w:pStyle w:val="ListParagraph"/>
              <w:numPr>
                <w:ilvl w:val="0"/>
                <w:numId w:val="2"/>
              </w:numPr>
              <w:spacing w:after="70" w:before="0" w:line="280" w:lineRule="auto"/>
            </w:pPr>
            <w:r>
              <w:rPr>
                <w:rFonts w:ascii="Plus Jakarta Sans" w:cs="Plus Jakarta Sans" w:eastAsia="Plus Jakarta Sans" w:hAnsi="Plus Jakarta Sans"/>
                <w:color w:val="16181A"/>
                <w:sz w:val="17"/>
                <w:szCs w:val="17"/>
              </w:rPr>
              <w:t xml:space="preserve">Use the bare mark — no tile. It is the logo, not an icon standing in for one.</w:t>
            </w:r>
          </w:p>
          <w:p>
            <w:pPr>
              <w:pStyle w:val="ListParagraph"/>
              <w:numPr>
                <w:ilvl w:val="0"/>
                <w:numId w:val="2"/>
              </w:numPr>
              <w:spacing w:after="70" w:before="0" w:line="280" w:lineRule="auto"/>
            </w:pPr>
            <w:r>
              <w:rPr>
                <w:rFonts w:ascii="Plus Jakarta Sans" w:cs="Plus Jakarta Sans" w:eastAsia="Plus Jakarta Sans" w:hAnsi="Plus Jakarta Sans"/>
                <w:color w:val="16181A"/>
                <w:sz w:val="17"/>
                <w:szCs w:val="17"/>
              </w:rPr>
              <w:t xml:space="preserve">Set color once on a parent and let currentColor do the rest; one file reads correctly on light, dark and print.</w:t>
            </w:r>
          </w:p>
          <w:p>
            <w:pPr>
              <w:pStyle w:val="ListParagraph"/>
              <w:numPr>
                <w:ilvl w:val="0"/>
                <w:numId w:val="2"/>
              </w:numPr>
              <w:spacing w:after="70" w:before="0" w:line="280" w:lineRule="auto"/>
            </w:pPr>
            <w:r>
              <w:rPr>
                <w:rFonts w:ascii="Plus Jakarta Sans" w:cs="Plus Jakarta Sans" w:eastAsia="Plus Jakarta Sans" w:hAnsi="Plus Jakarta Sans"/>
                <w:color w:val="16181A"/>
                <w:sz w:val="17"/>
                <w:szCs w:val="17"/>
              </w:rPr>
              <w:t xml:space="preserve">Put the name at the far end of the surface — at least 8 × the mark’s width away — or leave it off entirely. The mark alone carries the brand.</w:t>
            </w:r>
          </w:p>
          <w:p>
            <w:pPr>
              <w:pStyle w:val="ListParagraph"/>
              <w:numPr>
                <w:ilvl w:val="0"/>
                <w:numId w:val="2"/>
              </w:numPr>
              <w:spacing w:after="70" w:before="0" w:line="280" w:lineRule="auto"/>
            </w:pPr>
            <w:r>
              <w:rPr>
                <w:rFonts w:ascii="Plus Jakarta Sans" w:cs="Plus Jakarta Sans" w:eastAsia="Plus Jakarta Sans" w:hAnsi="Plus Jakarta Sans"/>
                <w:color w:val="16181A"/>
                <w:sz w:val="17"/>
                <w:szCs w:val="17"/>
              </w:rPr>
              <w:t xml:space="preserve">Scale the mark uniformly. It is a square at every size.</w:t>
            </w:r>
          </w:p>
          <w:p>
            <w:pPr>
              <w:pStyle w:val="ListParagraph"/>
              <w:numPr>
                <w:ilvl w:val="0"/>
                <w:numId w:val="2"/>
              </w:numPr>
              <w:spacing w:after="70" w:before="0" w:line="280" w:lineRule="auto"/>
            </w:pPr>
            <w:r>
              <w:rPr>
                <w:rFonts w:ascii="Plus Jakarta Sans" w:cs="Plus Jakarta Sans" w:eastAsia="Plus Jakarta Sans" w:hAnsi="Plus Jakarta Sans"/>
                <w:color w:val="16181A"/>
                <w:sz w:val="17"/>
                <w:szCs w:val="17"/>
              </w:rPr>
              <w:t xml:space="preserve">Drop below 20 px only by switching to the badge.</w:t>
            </w:r>
          </w:p>
        </w:tc>
        <w:tc>
          <w:tcPr>
            <w:tcW w:type="dxa" w:w="4706"/>
            <w:tcMar>
              <w:top w:type="dxa" w:w="130"/>
              <w:left w:type="dxa" w:w="260"/>
              <w:bottom w:type="dxa" w:w="130"/>
              <w:right w:type="dxa" w:w="90"/>
            </w:tcMar>
            <w:vAlign w:val="top"/>
          </w:tcPr>
          <w:p>
            <w:pPr>
              <w:pStyle w:val="ListParagraph"/>
              <w:numPr>
                <w:ilvl w:val="0"/>
                <w:numId w:val="3"/>
              </w:numPr>
              <w:spacing w:after="70" w:before="0" w:line="280" w:lineRule="auto"/>
            </w:pPr>
            <w:r>
              <w:rPr>
                <w:rFonts w:ascii="Plus Jakarta Sans" w:cs="Plus Jakarta Sans" w:eastAsia="Plus Jakarta Sans" w:hAnsi="Plus Jakarta Sans"/>
                <w:color w:val="16181A"/>
                <w:sz w:val="17"/>
                <w:szCs w:val="17"/>
              </w:rPr>
              <w:t xml:space="preserve">Put a badge on a surface you control. That is what the bare mark is for; the tile is for favicons, avatars and photography.</w:t>
            </w:r>
          </w:p>
          <w:p>
            <w:pPr>
              <w:pStyle w:val="ListParagraph"/>
              <w:numPr>
                <w:ilvl w:val="0"/>
                <w:numId w:val="3"/>
              </w:numPr>
              <w:spacing w:after="70" w:before="0" w:line="280" w:lineRule="auto"/>
            </w:pPr>
            <w:r>
              <w:rPr>
                <w:rFonts w:ascii="Plus Jakarta Sans" w:cs="Plus Jakarta Sans" w:eastAsia="Plus Jakarta Sans" w:hAnsi="Plus Jakarta Sans"/>
                <w:color w:val="16181A"/>
                <w:sz w:val="17"/>
                <w:szCs w:val="17"/>
              </w:rPr>
              <w:t xml:space="preserve">Combine the mark and the name into a single fixed unit, in any arrangement. That pairing is retired — they are two separate things now.</w:t>
            </w:r>
          </w:p>
          <w:p>
            <w:pPr>
              <w:pStyle w:val="ListParagraph"/>
              <w:numPr>
                <w:ilvl w:val="0"/>
                <w:numId w:val="3"/>
              </w:numPr>
              <w:spacing w:after="70" w:before="0" w:line="280" w:lineRule="auto"/>
            </w:pPr>
            <w:r>
              <w:rPr>
                <w:rFonts w:ascii="Plus Jakarta Sans" w:cs="Plus Jakarta Sans" w:eastAsia="Plus Jakarta Sans" w:hAnsi="Plus Jakarta Sans"/>
                <w:color w:val="16181A"/>
                <w:sz w:val="17"/>
                <w:szCs w:val="17"/>
              </w:rPr>
              <w:t xml:space="preserve">Set the name beside, under or over the mark. They anchor opposite ends, always.</w:t>
            </w:r>
          </w:p>
          <w:p>
            <w:pPr>
              <w:pStyle w:val="ListParagraph"/>
              <w:numPr>
                <w:ilvl w:val="0"/>
                <w:numId w:val="3"/>
              </w:numPr>
              <w:spacing w:after="70" w:before="0" w:line="280" w:lineRule="auto"/>
            </w:pPr>
            <w:r>
              <w:rPr>
                <w:rFonts w:ascii="Plus Jakarta Sans" w:cs="Plus Jakarta Sans" w:eastAsia="Plus Jakarta Sans" w:hAnsi="Plus Jakarta Sans"/>
                <w:color w:val="16181A"/>
                <w:sz w:val="17"/>
                <w:szCs w:val="17"/>
              </w:rPr>
              <w:t xml:space="preserve">Match the name’s weight to the mark’s stroke. That constraint is gone; the name is properly bold on its own terms.</w:t>
            </w:r>
          </w:p>
          <w:p>
            <w:pPr>
              <w:pStyle w:val="ListParagraph"/>
              <w:numPr>
                <w:ilvl w:val="0"/>
                <w:numId w:val="3"/>
              </w:numPr>
              <w:spacing w:after="70" w:before="0" w:line="280" w:lineRule="auto"/>
            </w:pPr>
            <w:r>
              <w:rPr>
                <w:rFonts w:ascii="Plus Jakarta Sans" w:cs="Plus Jakarta Sans" w:eastAsia="Plus Jakarta Sans" w:hAnsi="Plus Jakarta Sans"/>
                <w:color w:val="16181A"/>
                <w:sz w:val="17"/>
                <w:szCs w:val="17"/>
              </w:rPr>
              <w:t xml:space="preserve">Redraw, smooth, crop or recolour the mark. It ships exactly as drawn — ink, reversed, or a single flat brand colour, never anything between.</w:t>
            </w:r>
          </w:p>
          <w:p>
            <w:pPr>
              <w:pStyle w:val="ListParagraph"/>
              <w:numPr>
                <w:ilvl w:val="0"/>
                <w:numId w:val="3"/>
              </w:numPr>
              <w:spacing w:after="70" w:before="0" w:line="280" w:lineRule="auto"/>
            </w:pPr>
            <w:r>
              <w:rPr>
                <w:rFonts w:ascii="Plus Jakarta Sans" w:cs="Plus Jakarta Sans" w:eastAsia="Plus Jakarta Sans" w:hAnsi="Plus Jakarta Sans"/>
                <w:color w:val="16181A"/>
                <w:sz w:val="17"/>
                <w:szCs w:val="17"/>
              </w:rPr>
              <w:t xml:space="preserve">Put more than one mark on a surface.</w:t>
            </w:r>
          </w:p>
        </w:tc>
      </w:tr>
    </w:tbl>
    <w:p>
      <w:pPr>
        <w:pStyle w:val="Heading1"/>
        <w:keepNext/>
        <w:pageBreakBefore/>
        <w:spacing w:after="60" w:before="0" w:line="320" w:lineRule="auto"/>
      </w:pPr>
      <w:bookmarkStart w:name="_Toc9000011" w:id="11"/>
      <w:r>
        <w:rPr>
          <w:rFonts w:ascii="Geist Mono" w:cs="Geist Mono" w:eastAsia="Geist Mono" w:hAnsi="Geist Mono"/>
          <w:b/>
          <w:bCs/>
          <w:color w:val="8E2222"/>
          <w:spacing w:val="-8"/>
          <w:sz w:val="44"/>
          <w:szCs w:val="44"/>
        </w:rPr>
        <w:t xml:space="preserve">03</w:t>
      </w:r>
      <w:r>
        <w:rPr>
          <w:rFonts w:ascii="Plus Jakarta Sans" w:cs="Plus Jakarta Sans" w:eastAsia="Plus Jakarta Sans" w:hAnsi="Plus Jakarta Sans"/>
          <w:color w:val="16181A"/>
          <w:sz w:val="44"/>
          <w:szCs w:val="44"/>
        </w:rPr>
        <w:t xml:space="preserve">  </w:t>
      </w:r>
      <w:r>
        <w:rPr>
          <w:rFonts w:ascii="Plus Jakarta Sans ExtraBold" w:cs="Plus Jakarta Sans ExtraBold" w:eastAsia="Plus Jakarta Sans ExtraBold" w:hAnsi="Plus Jakarta Sans ExtraBold"/>
          <w:color w:val="16181A"/>
          <w:spacing w:val="-26"/>
          <w:sz w:val="44"/>
          <w:szCs w:val="44"/>
        </w:rPr>
        <w:t xml:space="preserve">Typography</w:t>
      </w:r>
      <w:bookmarkEnd w:id="11"/>
    </w:p>
    <w:p>
      <w:pPr>
        <w:pBdr>
          <w:bottom w:val="single" w:color="E2E3E0" w:sz="6" w:space="1"/>
        </w:pBdr>
        <w:spacing w:after="200" w:before="40" w:line="40" w:lineRule="exact"/>
      </w:pPr>
      <w:r>
        <w:rPr>
          <w:rFonts w:ascii="Plus Jakarta Sans" w:cs="Plus Jakarta Sans" w:eastAsia="Plus Jakarta Sans" w:hAnsi="Plus Jakarta Sans"/>
          <w:color w:val="16181A"/>
          <w:sz w:val="2"/>
          <w:szCs w:val="2"/>
        </w:rPr>
        <w:t xml:space="preserve"/>
      </w:r>
    </w:p>
    <w:p>
      <w:pPr>
        <w:spacing w:after="280" w:before="0" w:line="330" w:lineRule="auto"/>
      </w:pPr>
      <w:r>
        <w:rPr>
          <w:rFonts w:ascii="Plus Jakarta Sans" w:cs="Plus Jakarta Sans" w:eastAsia="Plus Jakarta Sans" w:hAnsi="Plus Jakarta Sans"/>
          <w:color w:val="53575B"/>
          <w:spacing w:val="-1"/>
          <w:sz w:val="22"/>
          <w:szCs w:val="22"/>
        </w:rPr>
        <w:t xml:space="preserve">Two families. Plus Jakarta Sans carries the voice; Geist Mono carries every number, code and label. Both are SIL OFL — free to use, embed and ship.</w:t>
      </w:r>
    </w:p>
    <w:p>
      <w:pPr>
        <w:pStyle w:val="Heading2"/>
        <w:keepNext/>
        <w:keepLines/>
        <w:spacing w:after="100" w:before="0" w:line="280" w:lineRule="auto"/>
      </w:pPr>
      <w:bookmarkStart w:name="_Toc9000012" w:id="12"/>
      <w:r>
        <w:rPr>
          <w:rFonts w:ascii="Plus Jakarta Sans SemiBold" w:cs="Plus Jakarta Sans SemiBold" w:eastAsia="Plus Jakarta Sans SemiBold" w:hAnsi="Plus Jakarta Sans SemiBold"/>
          <w:color w:val="16181A"/>
          <w:spacing w:val="-6"/>
          <w:sz w:val="25"/>
          <w:szCs w:val="25"/>
        </w:rPr>
        <w:t xml:space="preserve">Why Plus Jakarta Sans</w:t>
      </w:r>
      <w:bookmarkEnd w:id="12"/>
    </w:p>
    <w:p>
      <w:pPr>
        <w:spacing w:after="160" w:before="0" w:line="300" w:lineRule="auto"/>
      </w:pPr>
      <w:r>
        <w:rPr>
          <w:rFonts w:ascii="Plus Jakarta Sans" w:cs="Plus Jakarta Sans" w:eastAsia="Plus Jakarta Sans" w:hAnsi="Plus Jakarta Sans"/>
          <w:color w:val="53575B"/>
          <w:sz w:val="18"/>
          <w:szCs w:val="18"/>
        </w:rPr>
        <w:t xml:space="preserve">Nineteen open-source families were measured against the mark’s geometry. Plus Jakarta Sans wins on the two things that bond type to a monoline mark: it is near-monoline itself, and its bowls are true circles.</w:t>
      </w:r>
    </w:p>
    <w:tbl>
      <w:tblPr>
        <w:tblW w:type="dxa" w:w="9412"/>
        <w:tblBorders>
          <w:top w:val="single" w:color="E2E3E0" w:sz="6" w:space="1"/>
          <w:left w:val="none" w:color="auto" w:sz="0" w:space="0"/>
          <w:bottom w:val="single" w:color="E2E3E0" w:sz="6" w:space="1"/>
          <w:right w:val="none" w:color="auto" w:sz="0" w:space="0"/>
          <w:insideH w:val="single" w:color="E2E3E0" w:sz="4" w:space="1"/>
          <w:insideV w:val="none" w:color="auto" w:sz="0" w:space="0"/>
        </w:tblBorders>
        <w:tblLayout w:type="fixed"/>
      </w:tblPr>
      <w:tblGrid>
        <w:gridCol w:w="2650"/>
        <w:gridCol w:w="1150"/>
        <w:gridCol w:w="1500"/>
        <w:gridCol w:w="4112"/>
      </w:tblGrid>
      <w:tr>
        <w:trPr>
          <w:cantSplit/>
          <w:tblHeader/>
        </w:trPr>
        <w:tc>
          <w:tcPr>
            <w:tcW w:type="dxa" w:w="265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Test</w:t>
            </w:r>
          </w:p>
        </w:tc>
        <w:tc>
          <w:tcPr>
            <w:tcW w:type="dxa" w:w="115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jc w:val="right"/>
            </w:pPr>
            <w:r>
              <w:rPr>
                <w:rFonts w:ascii="Plus Jakarta Sans SemiBold" w:cs="Plus Jakarta Sans SemiBold" w:eastAsia="Plus Jakarta Sans SemiBold" w:hAnsi="Plus Jakarta Sans SemiBold"/>
                <w:color w:val="16181A"/>
                <w:sz w:val="16"/>
                <w:szCs w:val="16"/>
              </w:rPr>
              <w:t xml:space="preserve">The mark</w:t>
            </w:r>
          </w:p>
        </w:tc>
        <w:tc>
          <w:tcPr>
            <w:tcW w:type="dxa" w:w="150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jc w:val="right"/>
            </w:pPr>
            <w:r>
              <w:rPr>
                <w:rFonts w:ascii="Plus Jakarta Sans SemiBold" w:cs="Plus Jakarta Sans SemiBold" w:eastAsia="Plus Jakarta Sans SemiBold" w:hAnsi="Plus Jakarta Sans SemiBold"/>
                <w:color w:val="16181A"/>
                <w:sz w:val="16"/>
                <w:szCs w:val="16"/>
              </w:rPr>
              <w:t xml:space="preserve">Plus Jakarta 600</w:t>
            </w:r>
          </w:p>
        </w:tc>
        <w:tc>
          <w:tcPr>
            <w:tcW w:type="dxa" w:w="4112"/>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Reading</w:t>
            </w:r>
          </w:p>
        </w:tc>
      </w:tr>
      <w:tr>
        <w:trPr>
          <w:cantSplit/>
        </w:trPr>
        <w:tc>
          <w:tcPr>
            <w:tcW w:type="dxa" w:w="2650"/>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Stroke contrast (thick ÷ thin)</w:t>
            </w:r>
          </w:p>
        </w:tc>
        <w:tc>
          <w:tcPr>
            <w:tcW w:type="dxa" w:w="115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1.00</w:t>
            </w:r>
          </w:p>
        </w:tc>
        <w:tc>
          <w:tcPr>
            <w:tcW w:type="dxa" w:w="150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1.12</w:t>
            </w:r>
          </w:p>
        </w:tc>
        <w:tc>
          <w:tcPr>
            <w:tcW w:type="dxa" w:w="41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Near-monoline — the letters modulate almost as little as the mark.</w:t>
            </w:r>
          </w:p>
        </w:tc>
      </w:tr>
      <w:tr>
        <w:trPr>
          <w:cantSplit/>
        </w:trPr>
        <w:tc>
          <w:tcPr>
            <w:tcW w:type="dxa" w:w="2650"/>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Bowl width ÷ height (‘o’)</w:t>
            </w:r>
          </w:p>
        </w:tc>
        <w:tc>
          <w:tcPr>
            <w:tcW w:type="dxa" w:w="115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1.00</w:t>
            </w:r>
          </w:p>
        </w:tc>
        <w:tc>
          <w:tcPr>
            <w:tcW w:type="dxa" w:w="150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1.000</w:t>
            </w:r>
          </w:p>
        </w:tc>
        <w:tc>
          <w:tcPr>
            <w:tcW w:type="dxa" w:w="41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Perfect circles, like the mark’s arcs. The only finalist to hit 1.000.</w:t>
            </w:r>
          </w:p>
        </w:tc>
      </w:tr>
      <w:tr>
        <w:trPr>
          <w:cantSplit/>
        </w:trPr>
        <w:tc>
          <w:tcPr>
            <w:tcW w:type="dxa" w:w="2650"/>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Stem ÷ cap height</w:t>
            </w:r>
          </w:p>
        </w:tc>
        <w:tc>
          <w:tcPr>
            <w:tcW w:type="dxa" w:w="115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w:t>
            </w:r>
          </w:p>
        </w:tc>
        <w:tc>
          <w:tcPr>
            <w:tcW w:type="dxa" w:w="150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0.1577</w:t>
            </w:r>
          </w:p>
        </w:tc>
        <w:tc>
          <w:tcPr>
            <w:tcW w:type="dxa" w:w="41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A classical, comfortable stem-to-cap proportion for a display sans.</w:t>
            </w:r>
          </w:p>
        </w:tc>
      </w:tr>
      <w:tr>
        <w:trPr>
          <w:cantSplit/>
        </w:trPr>
        <w:tc>
          <w:tcPr>
            <w:tcW w:type="dxa" w:w="2650"/>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x-height ÷ cap</w:t>
            </w:r>
          </w:p>
        </w:tc>
        <w:tc>
          <w:tcPr>
            <w:tcW w:type="dxa" w:w="115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w:t>
            </w:r>
          </w:p>
        </w:tc>
        <w:tc>
          <w:tcPr>
            <w:tcW w:type="dxa" w:w="150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0.726</w:t>
            </w:r>
          </w:p>
        </w:tc>
        <w:tc>
          <w:tcPr>
            <w:tcW w:type="dxa" w:w="41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High enough to hold up at 10 pt in a German LV table.</w:t>
            </w:r>
          </w:p>
        </w:tc>
      </w:tr>
      <w:tr>
        <w:trPr>
          <w:cantSplit/>
        </w:trPr>
        <w:tc>
          <w:tcPr>
            <w:tcW w:type="dxa" w:w="2650"/>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Weights</w:t>
            </w:r>
          </w:p>
        </w:tc>
        <w:tc>
          <w:tcPr>
            <w:tcW w:type="dxa" w:w="115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w:t>
            </w:r>
          </w:p>
        </w:tc>
        <w:tc>
          <w:tcPr>
            <w:tcW w:type="dxa" w:w="150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200–800</w:t>
            </w:r>
          </w:p>
        </w:tc>
        <w:tc>
          <w:tcPr>
            <w:tcW w:type="dxa" w:w="41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One family covers display, UI and body. Tabular figures included.</w:t>
            </w:r>
          </w:p>
        </w:tc>
      </w:tr>
    </w:tbl>
    <w:p>
      <w:pPr>
        <w:spacing w:after="240" w:before="60" w:line="260" w:lineRule="auto"/>
      </w:pPr>
      <w:r>
        <w:rPr>
          <w:rFonts w:ascii="Plus Jakarta Sans" w:cs="Plus Jakarta Sans" w:eastAsia="Plus Jakarta Sans" w:hAnsi="Plus Jakarta Sans"/>
          <w:color w:val="53575B"/>
          <w:sz w:val="15"/>
          <w:szCs w:val="15"/>
        </w:rPr>
        <w:t xml:space="preserve">Runners-up if you ever swap: Figtree (more neutral), Outfit (purest geometry, weaker at small sizes), Space Grotesk (more character, but display-only and 12 % wider — bad for German compounds).</w:t>
      </w:r>
    </w:p>
    <w:tbl>
      <w:tblPr>
        <w:tblW w:type="dxa" w:w="9412"/>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
      <w:tblGrid>
        <w:gridCol w:w="9412"/>
      </w:tblGrid>
      <w:tr>
        <w:tc>
          <w:tcPr>
            <w:tcW w:type="dxa" w:w="9412"/>
            <w:tcBorders>
              <w:top w:val="none" w:color="auto" w:sz="0" w:space="0"/>
              <w:left w:val="single" w:color="C5C9CD" w:sz="12" w:space="0"/>
              <w:bottom w:val="none" w:color="auto" w:sz="0" w:space="0"/>
              <w:right w:val="none" w:color="auto" w:sz="0" w:space="0"/>
            </w:tcBorders>
            <w:shd w:fill="F4F4F1" w:color="auto" w:val="clear"/>
            <w:tcMar>
              <w:top w:type="dxa" w:w="150"/>
              <w:left w:type="dxa" w:w="180"/>
              <w:bottom w:type="dxa" w:w="150"/>
              <w:right w:type="dxa" w:w="180"/>
            </w:tcMar>
          </w:tcPr>
          <w:p>
            <w:pPr>
              <w:spacing w:after="0" w:before="0" w:line="290" w:lineRule="auto"/>
            </w:pPr>
            <w:r>
              <w:rPr>
                <w:rFonts w:ascii="Plus Jakarta Sans SemiBold" w:cs="Plus Jakarta Sans SemiBold" w:eastAsia="Plus Jakarta Sans SemiBold" w:hAnsi="Plus Jakarta Sans SemiBold"/>
                <w:color w:val="16181A"/>
                <w:sz w:val="18"/>
                <w:szCs w:val="18"/>
              </w:rPr>
              <w:t xml:space="preserve">Two weights carry the name — nothing is solved against the mark any more. </w:t>
            </w:r>
            <w:r>
              <w:rPr>
                <w:rFonts w:ascii="Plus Jakarta Sans" w:cs="Plus Jakarta Sans" w:eastAsia="Plus Jakarta Sans" w:hAnsi="Plus Jakarta Sans"/>
                <w:color w:val="53575B"/>
                <w:sz w:val="18"/>
                <w:szCs w:val="18"/>
              </w:rPr>
              <w:t xml:space="preserve">At </w:t>
            </w:r>
            <w:r>
              <w:rPr>
                <w:rFonts w:ascii="Geist Mono" w:cs="Geist Mono" w:eastAsia="Geist Mono" w:hAnsi="Geist Mono"/>
                <w:color w:val="16181A"/>
                <w:sz w:val="16"/>
                <w:szCs w:val="16"/>
              </w:rPr>
              <w:t xml:space="preserve">28 px</w:t>
            </w:r>
            <w:r>
              <w:rPr>
                <w:rFonts w:ascii="Plus Jakarta Sans" w:cs="Plus Jakarta Sans" w:eastAsia="Plus Jakarta Sans" w:hAnsi="Plus Jakarta Sans"/>
                <w:color w:val="53575B"/>
                <w:sz w:val="18"/>
                <w:szCs w:val="18"/>
              </w:rPr>
              <w:t xml:space="preserve"> and up it sits at weight </w:t>
            </w:r>
            <w:r>
              <w:rPr>
                <w:rFonts w:ascii="Geist Mono" w:cs="Geist Mono" w:eastAsia="Geist Mono" w:hAnsi="Geist Mono"/>
                <w:color w:val="16181A"/>
                <w:sz w:val="16"/>
                <w:szCs w:val="16"/>
              </w:rPr>
              <w:t xml:space="preserve">800</w:t>
            </w:r>
            <w:r>
              <w:rPr>
                <w:rFonts w:ascii="Plus Jakarta Sans" w:cs="Plus Jakarta Sans" w:eastAsia="Plus Jakarta Sans" w:hAnsi="Plus Jakarta Sans"/>
                <w:color w:val="53575B"/>
                <w:sz w:val="18"/>
                <w:szCs w:val="18"/>
              </w:rPr>
              <w:t xml:space="preserve">, tracking </w:t>
            </w:r>
            <w:r>
              <w:rPr>
                <w:rFonts w:ascii="Geist Mono" w:cs="Geist Mono" w:eastAsia="Geist Mono" w:hAnsi="Geist Mono"/>
                <w:color w:val="16181A"/>
                <w:sz w:val="16"/>
                <w:szCs w:val="16"/>
              </w:rPr>
              <w:t xml:space="preserve">−0.030 em</w:t>
            </w:r>
            <w:r>
              <w:rPr>
                <w:rFonts w:ascii="Plus Jakarta Sans" w:cs="Plus Jakarta Sans" w:eastAsia="Plus Jakarta Sans" w:hAnsi="Plus Jakarta Sans"/>
                <w:color w:val="53575B"/>
                <w:sz w:val="18"/>
                <w:szCs w:val="18"/>
              </w:rPr>
              <w:t xml:space="preserve"> — covers, slide titles, the website hero. Below that it drops to weight </w:t>
            </w:r>
            <w:r>
              <w:rPr>
                <w:rFonts w:ascii="Geist Mono" w:cs="Geist Mono" w:eastAsia="Geist Mono" w:hAnsi="Geist Mono"/>
                <w:color w:val="16181A"/>
                <w:sz w:val="16"/>
                <w:szCs w:val="16"/>
              </w:rPr>
              <w:t xml:space="preserve">700</w:t>
            </w:r>
            <w:r>
              <w:rPr>
                <w:rFonts w:ascii="Plus Jakarta Sans" w:cs="Plus Jakarta Sans" w:eastAsia="Plus Jakarta Sans" w:hAnsi="Plus Jakarta Sans"/>
                <w:color w:val="53575B"/>
                <w:sz w:val="18"/>
                <w:szCs w:val="18"/>
              </w:rPr>
              <w:t xml:space="preserve"> at </w:t>
            </w:r>
            <w:r>
              <w:rPr>
                <w:rFonts w:ascii="Geist Mono" w:cs="Geist Mono" w:eastAsia="Geist Mono" w:hAnsi="Geist Mono"/>
                <w:color w:val="16181A"/>
                <w:sz w:val="16"/>
                <w:szCs w:val="16"/>
              </w:rPr>
              <w:t xml:space="preserve">−0.012 em</w:t>
            </w:r>
            <w:r>
              <w:rPr>
                <w:rFonts w:ascii="Plus Jakarta Sans" w:cs="Plus Jakarta Sans" w:eastAsia="Plus Jakarta Sans" w:hAnsi="Plus Jakarta Sans"/>
                <w:color w:val="53575B"/>
                <w:sz w:val="18"/>
                <w:szCs w:val="18"/>
              </w:rPr>
              <w:t xml:space="preserve"> — app headers, footers, captions. Headlines in this manual keep their own 700 / 800 scale, set independently.</w:t>
            </w:r>
          </w:p>
        </w:tc>
      </w:tr>
    </w:tbl>
    <w:p>
      <w:pPr>
        <w:spacing w:after="0" w:before="0" w:line="200" w:lineRule="exact"/>
      </w:pPr>
      <w:r>
        <w:rPr>
          <w:rFonts w:ascii="Plus Jakarta Sans" w:cs="Plus Jakarta Sans" w:eastAsia="Plus Jakarta Sans" w:hAnsi="Plus Jakarta Sans"/>
          <w:color w:val="16181A"/>
          <w:sz w:val="2"/>
          <w:szCs w:val="2"/>
        </w:rPr>
        <w:t xml:space="preserve"/>
      </w:r>
    </w:p>
    <w:p>
      <w:pPr>
        <w:pStyle w:val="Heading2"/>
        <w:keepNext/>
        <w:keepLines/>
        <w:pageBreakBefore/>
        <w:spacing w:after="100" w:before="0" w:line="280" w:lineRule="auto"/>
      </w:pPr>
      <w:bookmarkStart w:name="_Toc9000013" w:id="13"/>
      <w:r>
        <w:rPr>
          <w:rFonts w:ascii="Plus Jakarta Sans SemiBold" w:cs="Plus Jakarta Sans SemiBold" w:eastAsia="Plus Jakarta Sans SemiBold" w:hAnsi="Plus Jakarta Sans SemiBold"/>
          <w:color w:val="16181A"/>
          <w:spacing w:val="-6"/>
          <w:sz w:val="25"/>
          <w:szCs w:val="25"/>
        </w:rPr>
        <w:t xml:space="preserve">The scale</w:t>
      </w:r>
      <w:bookmarkEnd w:id="13"/>
    </w:p>
    <w:tbl>
      <w:tblPr>
        <w:tblW w:type="dxa" w:w="9412"/>
        <w:tblBorders>
          <w:top w:val="single" w:color="E2E3E0" w:sz="6" w:space="1"/>
          <w:left w:val="none" w:color="auto" w:sz="0" w:space="0"/>
          <w:bottom w:val="single" w:color="E2E3E0" w:sz="6" w:space="1"/>
          <w:right w:val="none" w:color="auto" w:sz="0" w:space="0"/>
          <w:insideH w:val="single" w:color="E2E3E0" w:sz="4" w:space="1"/>
          <w:insideV w:val="none" w:color="auto" w:sz="0" w:space="0"/>
        </w:tblBorders>
        <w:tblLayout w:type="fixed"/>
      </w:tblPr>
      <w:tblGrid>
        <w:gridCol w:w="1150"/>
        <w:gridCol w:w="2700"/>
        <w:gridCol w:w="780"/>
        <w:gridCol w:w="1080"/>
        <w:gridCol w:w="880"/>
        <w:gridCol w:w="2822"/>
      </w:tblGrid>
      <w:tr>
        <w:trPr>
          <w:cantSplit/>
          <w:tblHeader/>
        </w:trPr>
        <w:tc>
          <w:tcPr>
            <w:tcW w:type="dxa" w:w="115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Token</w:t>
            </w:r>
          </w:p>
        </w:tc>
        <w:tc>
          <w:tcPr>
            <w:tcW w:type="dxa" w:w="270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Size</w:t>
            </w:r>
          </w:p>
        </w:tc>
        <w:tc>
          <w:tcPr>
            <w:tcW w:type="dxa" w:w="78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jc w:val="right"/>
            </w:pPr>
            <w:r>
              <w:rPr>
                <w:rFonts w:ascii="Plus Jakarta Sans SemiBold" w:cs="Plus Jakarta Sans SemiBold" w:eastAsia="Plus Jakarta Sans SemiBold" w:hAnsi="Plus Jakarta Sans SemiBold"/>
                <w:color w:val="16181A"/>
                <w:sz w:val="16"/>
                <w:szCs w:val="16"/>
              </w:rPr>
              <w:t xml:space="preserve">Weight</w:t>
            </w:r>
          </w:p>
        </w:tc>
        <w:tc>
          <w:tcPr>
            <w:tcW w:type="dxa" w:w="108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jc w:val="right"/>
            </w:pPr>
            <w:r>
              <w:rPr>
                <w:rFonts w:ascii="Plus Jakarta Sans SemiBold" w:cs="Plus Jakarta Sans SemiBold" w:eastAsia="Plus Jakarta Sans SemiBold" w:hAnsi="Plus Jakarta Sans SemiBold"/>
                <w:color w:val="16181A"/>
                <w:sz w:val="16"/>
                <w:szCs w:val="16"/>
              </w:rPr>
              <w:t xml:space="preserve">Tracking</w:t>
            </w:r>
          </w:p>
        </w:tc>
        <w:tc>
          <w:tcPr>
            <w:tcW w:type="dxa" w:w="88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jc w:val="right"/>
            </w:pPr>
            <w:r>
              <w:rPr>
                <w:rFonts w:ascii="Plus Jakarta Sans SemiBold" w:cs="Plus Jakarta Sans SemiBold" w:eastAsia="Plus Jakarta Sans SemiBold" w:hAnsi="Plus Jakarta Sans SemiBold"/>
                <w:color w:val="16181A"/>
                <w:sz w:val="16"/>
                <w:szCs w:val="16"/>
              </w:rPr>
              <w:t xml:space="preserve">Leading</w:t>
            </w:r>
          </w:p>
        </w:tc>
        <w:tc>
          <w:tcPr>
            <w:tcW w:type="dxa" w:w="2822"/>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Use</w:t>
            </w:r>
          </w:p>
        </w:tc>
      </w:tr>
      <w:tr>
        <w:trPr>
          <w:cantSplit/>
        </w:trPr>
        <w:tc>
          <w:tcPr>
            <w:tcW w:type="dxa" w:w="1150"/>
            <w:tcMar>
              <w:top w:type="dxa" w:w="70"/>
              <w:left w:type="dxa" w:w="90"/>
              <w:bottom w:type="dxa" w:w="70"/>
              <w:right w:type="dxa" w:w="90"/>
            </w:tcMar>
            <w:vAlign w:val="center"/>
          </w:tcPr>
          <w:p>
            <w:pPr>
              <w:spacing w:after="0" w:before="0" w:line="250" w:lineRule="auto"/>
            </w:pPr>
            <w:r>
              <w:rPr>
                <w:rFonts w:ascii="Geist Mono" w:cs="Geist Mono" w:eastAsia="Geist Mono" w:hAnsi="Geist Mono"/>
                <w:b/>
                <w:bCs/>
                <w:color w:val="16181A"/>
                <w:sz w:val="16"/>
                <w:szCs w:val="16"/>
              </w:rPr>
              <w:t xml:space="preserve">display-1</w:t>
            </w:r>
          </w:p>
        </w:tc>
        <w:tc>
          <w:tcPr>
            <w:tcW w:type="dxa" w:w="27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53575B"/>
                <w:sz w:val="14"/>
                <w:szCs w:val="14"/>
              </w:rPr>
              <w:t xml:space="preserve">clamp(3rem,7vw,5.5rem)</w:t>
            </w:r>
          </w:p>
        </w:tc>
        <w:tc>
          <w:tcPr>
            <w:tcW w:type="dxa" w:w="78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800</w:t>
            </w:r>
          </w:p>
        </w:tc>
        <w:tc>
          <w:tcPr>
            <w:tcW w:type="dxa" w:w="108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−0.045em</w:t>
            </w:r>
          </w:p>
        </w:tc>
        <w:tc>
          <w:tcPr>
            <w:tcW w:type="dxa" w:w="88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0.94</w:t>
            </w:r>
          </w:p>
        </w:tc>
        <w:tc>
          <w:tcPr>
            <w:tcW w:type="dxa" w:w="282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53575B"/>
                <w:sz w:val="15"/>
                <w:szCs w:val="15"/>
              </w:rPr>
              <w:t xml:space="preserve">Hero headline. One per page, ever.</w:t>
            </w:r>
          </w:p>
        </w:tc>
      </w:tr>
      <w:tr>
        <w:trPr>
          <w:cantSplit/>
        </w:trPr>
        <w:tc>
          <w:tcPr>
            <w:tcW w:type="dxa" w:w="1150"/>
            <w:tcMar>
              <w:top w:type="dxa" w:w="70"/>
              <w:left w:type="dxa" w:w="90"/>
              <w:bottom w:type="dxa" w:w="70"/>
              <w:right w:type="dxa" w:w="90"/>
            </w:tcMar>
            <w:vAlign w:val="center"/>
          </w:tcPr>
          <w:p>
            <w:pPr>
              <w:spacing w:after="0" w:before="0" w:line="250" w:lineRule="auto"/>
            </w:pPr>
            <w:r>
              <w:rPr>
                <w:rFonts w:ascii="Geist Mono" w:cs="Geist Mono" w:eastAsia="Geist Mono" w:hAnsi="Geist Mono"/>
                <w:b/>
                <w:bCs/>
                <w:color w:val="16181A"/>
                <w:sz w:val="16"/>
                <w:szCs w:val="16"/>
              </w:rPr>
              <w:t xml:space="preserve">display-2</w:t>
            </w:r>
          </w:p>
        </w:tc>
        <w:tc>
          <w:tcPr>
            <w:tcW w:type="dxa" w:w="27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53575B"/>
                <w:sz w:val="14"/>
                <w:szCs w:val="14"/>
              </w:rPr>
              <w:t xml:space="preserve">clamp(2.25rem,5vw,3.75rem)</w:t>
            </w:r>
          </w:p>
        </w:tc>
        <w:tc>
          <w:tcPr>
            <w:tcW w:type="dxa" w:w="78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800</w:t>
            </w:r>
          </w:p>
        </w:tc>
        <w:tc>
          <w:tcPr>
            <w:tcW w:type="dxa" w:w="108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−0.04em</w:t>
            </w:r>
          </w:p>
        </w:tc>
        <w:tc>
          <w:tcPr>
            <w:tcW w:type="dxa" w:w="88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0.98</w:t>
            </w:r>
          </w:p>
        </w:tc>
        <w:tc>
          <w:tcPr>
            <w:tcW w:type="dxa" w:w="282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53575B"/>
                <w:sz w:val="15"/>
                <w:szCs w:val="15"/>
              </w:rPr>
              <w:t xml:space="preserve">Section opener, statement slides.</w:t>
            </w:r>
          </w:p>
        </w:tc>
      </w:tr>
      <w:tr>
        <w:trPr>
          <w:cantSplit/>
        </w:trPr>
        <w:tc>
          <w:tcPr>
            <w:tcW w:type="dxa" w:w="1150"/>
            <w:tcMar>
              <w:top w:type="dxa" w:w="70"/>
              <w:left w:type="dxa" w:w="90"/>
              <w:bottom w:type="dxa" w:w="70"/>
              <w:right w:type="dxa" w:w="90"/>
            </w:tcMar>
            <w:vAlign w:val="center"/>
          </w:tcPr>
          <w:p>
            <w:pPr>
              <w:spacing w:after="0" w:before="0" w:line="250" w:lineRule="auto"/>
            </w:pPr>
            <w:r>
              <w:rPr>
                <w:rFonts w:ascii="Geist Mono" w:cs="Geist Mono" w:eastAsia="Geist Mono" w:hAnsi="Geist Mono"/>
                <w:b/>
                <w:bCs/>
                <w:color w:val="16181A"/>
                <w:sz w:val="16"/>
                <w:szCs w:val="16"/>
              </w:rPr>
              <w:t xml:space="preserve">h1</w:t>
            </w:r>
          </w:p>
        </w:tc>
        <w:tc>
          <w:tcPr>
            <w:tcW w:type="dxa" w:w="27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53575B"/>
                <w:sz w:val="14"/>
                <w:szCs w:val="14"/>
              </w:rPr>
              <w:t xml:space="preserve">clamp(1.875rem,3.4vw,2.75rem)</w:t>
            </w:r>
          </w:p>
        </w:tc>
        <w:tc>
          <w:tcPr>
            <w:tcW w:type="dxa" w:w="78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700</w:t>
            </w:r>
          </w:p>
        </w:tc>
        <w:tc>
          <w:tcPr>
            <w:tcW w:type="dxa" w:w="108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−0.032em</w:t>
            </w:r>
          </w:p>
        </w:tc>
        <w:tc>
          <w:tcPr>
            <w:tcW w:type="dxa" w:w="88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1.06</w:t>
            </w:r>
          </w:p>
        </w:tc>
        <w:tc>
          <w:tcPr>
            <w:tcW w:type="dxa" w:w="282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53575B"/>
                <w:sz w:val="15"/>
                <w:szCs w:val="15"/>
              </w:rPr>
              <w:t xml:space="preserve">Page and article titles.</w:t>
            </w:r>
          </w:p>
        </w:tc>
      </w:tr>
      <w:tr>
        <w:trPr>
          <w:cantSplit/>
        </w:trPr>
        <w:tc>
          <w:tcPr>
            <w:tcW w:type="dxa" w:w="1150"/>
            <w:tcMar>
              <w:top w:type="dxa" w:w="70"/>
              <w:left w:type="dxa" w:w="90"/>
              <w:bottom w:type="dxa" w:w="70"/>
              <w:right w:type="dxa" w:w="90"/>
            </w:tcMar>
            <w:vAlign w:val="center"/>
          </w:tcPr>
          <w:p>
            <w:pPr>
              <w:spacing w:after="0" w:before="0" w:line="250" w:lineRule="auto"/>
            </w:pPr>
            <w:r>
              <w:rPr>
                <w:rFonts w:ascii="Geist Mono" w:cs="Geist Mono" w:eastAsia="Geist Mono" w:hAnsi="Geist Mono"/>
                <w:b/>
                <w:bCs/>
                <w:color w:val="16181A"/>
                <w:sz w:val="16"/>
                <w:szCs w:val="16"/>
              </w:rPr>
              <w:t xml:space="preserve">h2</w:t>
            </w:r>
          </w:p>
        </w:tc>
        <w:tc>
          <w:tcPr>
            <w:tcW w:type="dxa" w:w="27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53575B"/>
                <w:sz w:val="14"/>
                <w:szCs w:val="14"/>
              </w:rPr>
              <w:t xml:space="preserve">clamp(1.5rem,2.4vw,2rem)</w:t>
            </w:r>
          </w:p>
        </w:tc>
        <w:tc>
          <w:tcPr>
            <w:tcW w:type="dxa" w:w="78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700</w:t>
            </w:r>
          </w:p>
        </w:tc>
        <w:tc>
          <w:tcPr>
            <w:tcW w:type="dxa" w:w="108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−0.026em</w:t>
            </w:r>
          </w:p>
        </w:tc>
        <w:tc>
          <w:tcPr>
            <w:tcW w:type="dxa" w:w="88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1.12</w:t>
            </w:r>
          </w:p>
        </w:tc>
        <w:tc>
          <w:tcPr>
            <w:tcW w:type="dxa" w:w="282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53575B"/>
                <w:sz w:val="15"/>
                <w:szCs w:val="15"/>
              </w:rPr>
              <w:t xml:space="preserve">Major section heads.</w:t>
            </w:r>
          </w:p>
        </w:tc>
      </w:tr>
      <w:tr>
        <w:trPr>
          <w:cantSplit/>
        </w:trPr>
        <w:tc>
          <w:tcPr>
            <w:tcW w:type="dxa" w:w="1150"/>
            <w:tcMar>
              <w:top w:type="dxa" w:w="70"/>
              <w:left w:type="dxa" w:w="90"/>
              <w:bottom w:type="dxa" w:w="70"/>
              <w:right w:type="dxa" w:w="90"/>
            </w:tcMar>
            <w:vAlign w:val="center"/>
          </w:tcPr>
          <w:p>
            <w:pPr>
              <w:spacing w:after="0" w:before="0" w:line="250" w:lineRule="auto"/>
            </w:pPr>
            <w:r>
              <w:rPr>
                <w:rFonts w:ascii="Geist Mono" w:cs="Geist Mono" w:eastAsia="Geist Mono" w:hAnsi="Geist Mono"/>
                <w:b/>
                <w:bCs/>
                <w:color w:val="16181A"/>
                <w:sz w:val="16"/>
                <w:szCs w:val="16"/>
              </w:rPr>
              <w:t xml:space="preserve">h3</w:t>
            </w:r>
          </w:p>
        </w:tc>
        <w:tc>
          <w:tcPr>
            <w:tcW w:type="dxa" w:w="27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53575B"/>
                <w:sz w:val="14"/>
                <w:szCs w:val="14"/>
              </w:rPr>
              <w:t xml:space="preserve">1.375rem</w:t>
            </w:r>
          </w:p>
        </w:tc>
        <w:tc>
          <w:tcPr>
            <w:tcW w:type="dxa" w:w="78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600</w:t>
            </w:r>
          </w:p>
        </w:tc>
        <w:tc>
          <w:tcPr>
            <w:tcW w:type="dxa" w:w="108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−0.02em</w:t>
            </w:r>
          </w:p>
        </w:tc>
        <w:tc>
          <w:tcPr>
            <w:tcW w:type="dxa" w:w="88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1.2</w:t>
            </w:r>
          </w:p>
        </w:tc>
        <w:tc>
          <w:tcPr>
            <w:tcW w:type="dxa" w:w="282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53575B"/>
                <w:sz w:val="15"/>
                <w:szCs w:val="15"/>
              </w:rPr>
              <w:t xml:space="preserve">Sub-section heads, card titles.</w:t>
            </w:r>
          </w:p>
        </w:tc>
      </w:tr>
      <w:tr>
        <w:trPr>
          <w:cantSplit/>
        </w:trPr>
        <w:tc>
          <w:tcPr>
            <w:tcW w:type="dxa" w:w="1150"/>
            <w:tcMar>
              <w:top w:type="dxa" w:w="70"/>
              <w:left w:type="dxa" w:w="90"/>
              <w:bottom w:type="dxa" w:w="70"/>
              <w:right w:type="dxa" w:w="90"/>
            </w:tcMar>
            <w:vAlign w:val="center"/>
          </w:tcPr>
          <w:p>
            <w:pPr>
              <w:spacing w:after="0" w:before="0" w:line="250" w:lineRule="auto"/>
            </w:pPr>
            <w:r>
              <w:rPr>
                <w:rFonts w:ascii="Geist Mono" w:cs="Geist Mono" w:eastAsia="Geist Mono" w:hAnsi="Geist Mono"/>
                <w:b/>
                <w:bCs/>
                <w:color w:val="16181A"/>
                <w:sz w:val="16"/>
                <w:szCs w:val="16"/>
              </w:rPr>
              <w:t xml:space="preserve">h4</w:t>
            </w:r>
          </w:p>
        </w:tc>
        <w:tc>
          <w:tcPr>
            <w:tcW w:type="dxa" w:w="27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53575B"/>
                <w:sz w:val="14"/>
                <w:szCs w:val="14"/>
              </w:rPr>
              <w:t xml:space="preserve">1.125rem</w:t>
            </w:r>
          </w:p>
        </w:tc>
        <w:tc>
          <w:tcPr>
            <w:tcW w:type="dxa" w:w="78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600</w:t>
            </w:r>
          </w:p>
        </w:tc>
        <w:tc>
          <w:tcPr>
            <w:tcW w:type="dxa" w:w="108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−0.014em</w:t>
            </w:r>
          </w:p>
        </w:tc>
        <w:tc>
          <w:tcPr>
            <w:tcW w:type="dxa" w:w="88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1.3</w:t>
            </w:r>
          </w:p>
        </w:tc>
        <w:tc>
          <w:tcPr>
            <w:tcW w:type="dxa" w:w="282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53575B"/>
                <w:sz w:val="15"/>
                <w:szCs w:val="15"/>
              </w:rPr>
              <w:t xml:space="preserve">Inline heads, table group labels.</w:t>
            </w:r>
          </w:p>
        </w:tc>
      </w:tr>
      <w:tr>
        <w:trPr>
          <w:cantSplit/>
        </w:trPr>
        <w:tc>
          <w:tcPr>
            <w:tcW w:type="dxa" w:w="1150"/>
            <w:tcMar>
              <w:top w:type="dxa" w:w="70"/>
              <w:left w:type="dxa" w:w="90"/>
              <w:bottom w:type="dxa" w:w="70"/>
              <w:right w:type="dxa" w:w="90"/>
            </w:tcMar>
            <w:vAlign w:val="center"/>
          </w:tcPr>
          <w:p>
            <w:pPr>
              <w:spacing w:after="0" w:before="0" w:line="250" w:lineRule="auto"/>
            </w:pPr>
            <w:r>
              <w:rPr>
                <w:rFonts w:ascii="Geist Mono" w:cs="Geist Mono" w:eastAsia="Geist Mono" w:hAnsi="Geist Mono"/>
                <w:b/>
                <w:bCs/>
                <w:color w:val="16181A"/>
                <w:sz w:val="16"/>
                <w:szCs w:val="16"/>
              </w:rPr>
              <w:t xml:space="preserve">body-lg</w:t>
            </w:r>
          </w:p>
        </w:tc>
        <w:tc>
          <w:tcPr>
            <w:tcW w:type="dxa" w:w="27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53575B"/>
                <w:sz w:val="14"/>
                <w:szCs w:val="14"/>
              </w:rPr>
              <w:t xml:space="preserve">1.125rem</w:t>
            </w:r>
          </w:p>
        </w:tc>
        <w:tc>
          <w:tcPr>
            <w:tcW w:type="dxa" w:w="78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400</w:t>
            </w:r>
          </w:p>
        </w:tc>
        <w:tc>
          <w:tcPr>
            <w:tcW w:type="dxa" w:w="108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−0.006em</w:t>
            </w:r>
          </w:p>
        </w:tc>
        <w:tc>
          <w:tcPr>
            <w:tcW w:type="dxa" w:w="88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1.6</w:t>
            </w:r>
          </w:p>
        </w:tc>
        <w:tc>
          <w:tcPr>
            <w:tcW w:type="dxa" w:w="282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53575B"/>
                <w:sz w:val="15"/>
                <w:szCs w:val="15"/>
              </w:rPr>
              <w:t xml:space="preserve">Lead paragraph, one per section.</w:t>
            </w:r>
          </w:p>
        </w:tc>
      </w:tr>
      <w:tr>
        <w:trPr>
          <w:cantSplit/>
        </w:trPr>
        <w:tc>
          <w:tcPr>
            <w:tcW w:type="dxa" w:w="1150"/>
            <w:tcMar>
              <w:top w:type="dxa" w:w="70"/>
              <w:left w:type="dxa" w:w="90"/>
              <w:bottom w:type="dxa" w:w="70"/>
              <w:right w:type="dxa" w:w="90"/>
            </w:tcMar>
            <w:vAlign w:val="center"/>
          </w:tcPr>
          <w:p>
            <w:pPr>
              <w:spacing w:after="0" w:before="0" w:line="250" w:lineRule="auto"/>
            </w:pPr>
            <w:r>
              <w:rPr>
                <w:rFonts w:ascii="Geist Mono" w:cs="Geist Mono" w:eastAsia="Geist Mono" w:hAnsi="Geist Mono"/>
                <w:b/>
                <w:bCs/>
                <w:color w:val="16181A"/>
                <w:sz w:val="16"/>
                <w:szCs w:val="16"/>
              </w:rPr>
              <w:t xml:space="preserve">body</w:t>
            </w:r>
          </w:p>
        </w:tc>
        <w:tc>
          <w:tcPr>
            <w:tcW w:type="dxa" w:w="27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53575B"/>
                <w:sz w:val="14"/>
                <w:szCs w:val="14"/>
              </w:rPr>
              <w:t xml:space="preserve">1rem</w:t>
            </w:r>
          </w:p>
        </w:tc>
        <w:tc>
          <w:tcPr>
            <w:tcW w:type="dxa" w:w="78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400</w:t>
            </w:r>
          </w:p>
        </w:tc>
        <w:tc>
          <w:tcPr>
            <w:tcW w:type="dxa" w:w="108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0</w:t>
            </w:r>
          </w:p>
        </w:tc>
        <w:tc>
          <w:tcPr>
            <w:tcW w:type="dxa" w:w="88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1.6</w:t>
            </w:r>
          </w:p>
        </w:tc>
        <w:tc>
          <w:tcPr>
            <w:tcW w:type="dxa" w:w="282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53575B"/>
                <w:sz w:val="15"/>
                <w:szCs w:val="15"/>
              </w:rPr>
              <w:t xml:space="preserve">Default running text.</w:t>
            </w:r>
          </w:p>
        </w:tc>
      </w:tr>
      <w:tr>
        <w:trPr>
          <w:cantSplit/>
        </w:trPr>
        <w:tc>
          <w:tcPr>
            <w:tcW w:type="dxa" w:w="1150"/>
            <w:tcMar>
              <w:top w:type="dxa" w:w="70"/>
              <w:left w:type="dxa" w:w="90"/>
              <w:bottom w:type="dxa" w:w="70"/>
              <w:right w:type="dxa" w:w="90"/>
            </w:tcMar>
            <w:vAlign w:val="center"/>
          </w:tcPr>
          <w:p>
            <w:pPr>
              <w:spacing w:after="0" w:before="0" w:line="250" w:lineRule="auto"/>
            </w:pPr>
            <w:r>
              <w:rPr>
                <w:rFonts w:ascii="Geist Mono" w:cs="Geist Mono" w:eastAsia="Geist Mono" w:hAnsi="Geist Mono"/>
                <w:b/>
                <w:bCs/>
                <w:color w:val="16181A"/>
                <w:sz w:val="16"/>
                <w:szCs w:val="16"/>
              </w:rPr>
              <w:t xml:space="preserve">body-sm</w:t>
            </w:r>
          </w:p>
        </w:tc>
        <w:tc>
          <w:tcPr>
            <w:tcW w:type="dxa" w:w="27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53575B"/>
                <w:sz w:val="14"/>
                <w:szCs w:val="14"/>
              </w:rPr>
              <w:t xml:space="preserve">0.875rem</w:t>
            </w:r>
          </w:p>
        </w:tc>
        <w:tc>
          <w:tcPr>
            <w:tcW w:type="dxa" w:w="78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400</w:t>
            </w:r>
          </w:p>
        </w:tc>
        <w:tc>
          <w:tcPr>
            <w:tcW w:type="dxa" w:w="108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0</w:t>
            </w:r>
          </w:p>
        </w:tc>
        <w:tc>
          <w:tcPr>
            <w:tcW w:type="dxa" w:w="88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1.55</w:t>
            </w:r>
          </w:p>
        </w:tc>
        <w:tc>
          <w:tcPr>
            <w:tcW w:type="dxa" w:w="282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53575B"/>
                <w:sz w:val="15"/>
                <w:szCs w:val="15"/>
              </w:rPr>
              <w:t xml:space="preserve">Secondary text, help, footnotes.</w:t>
            </w:r>
          </w:p>
        </w:tc>
      </w:tr>
      <w:tr>
        <w:trPr>
          <w:cantSplit/>
        </w:trPr>
        <w:tc>
          <w:tcPr>
            <w:tcW w:type="dxa" w:w="1150"/>
            <w:tcMar>
              <w:top w:type="dxa" w:w="70"/>
              <w:left w:type="dxa" w:w="90"/>
              <w:bottom w:type="dxa" w:w="70"/>
              <w:right w:type="dxa" w:w="90"/>
            </w:tcMar>
            <w:vAlign w:val="center"/>
          </w:tcPr>
          <w:p>
            <w:pPr>
              <w:spacing w:after="0" w:before="0" w:line="250" w:lineRule="auto"/>
            </w:pPr>
            <w:r>
              <w:rPr>
                <w:rFonts w:ascii="Geist Mono" w:cs="Geist Mono" w:eastAsia="Geist Mono" w:hAnsi="Geist Mono"/>
                <w:b/>
                <w:bCs/>
                <w:color w:val="16181A"/>
                <w:sz w:val="16"/>
                <w:szCs w:val="16"/>
              </w:rPr>
              <w:t xml:space="preserve">caption</w:t>
            </w:r>
          </w:p>
        </w:tc>
        <w:tc>
          <w:tcPr>
            <w:tcW w:type="dxa" w:w="27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53575B"/>
                <w:sz w:val="14"/>
                <w:szCs w:val="14"/>
              </w:rPr>
              <w:t xml:space="preserve">0.8125rem</w:t>
            </w:r>
          </w:p>
        </w:tc>
        <w:tc>
          <w:tcPr>
            <w:tcW w:type="dxa" w:w="78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500</w:t>
            </w:r>
          </w:p>
        </w:tc>
        <w:tc>
          <w:tcPr>
            <w:tcW w:type="dxa" w:w="108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0.005em</w:t>
            </w:r>
          </w:p>
        </w:tc>
        <w:tc>
          <w:tcPr>
            <w:tcW w:type="dxa" w:w="88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1.45</w:t>
            </w:r>
          </w:p>
        </w:tc>
        <w:tc>
          <w:tcPr>
            <w:tcW w:type="dxa" w:w="282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53575B"/>
                <w:sz w:val="15"/>
                <w:szCs w:val="15"/>
              </w:rPr>
              <w:t xml:space="preserve">Captions, metadata lines.</w:t>
            </w:r>
          </w:p>
        </w:tc>
      </w:tr>
      <w:tr>
        <w:trPr>
          <w:cantSplit/>
        </w:trPr>
        <w:tc>
          <w:tcPr>
            <w:tcW w:type="dxa" w:w="1150"/>
            <w:tcMar>
              <w:top w:type="dxa" w:w="70"/>
              <w:left w:type="dxa" w:w="90"/>
              <w:bottom w:type="dxa" w:w="70"/>
              <w:right w:type="dxa" w:w="90"/>
            </w:tcMar>
            <w:vAlign w:val="center"/>
          </w:tcPr>
          <w:p>
            <w:pPr>
              <w:spacing w:after="0" w:before="0" w:line="250" w:lineRule="auto"/>
            </w:pPr>
            <w:r>
              <w:rPr>
                <w:rFonts w:ascii="Geist Mono" w:cs="Geist Mono" w:eastAsia="Geist Mono" w:hAnsi="Geist Mono"/>
                <w:b/>
                <w:bCs/>
                <w:color w:val="16181A"/>
                <w:sz w:val="16"/>
                <w:szCs w:val="16"/>
              </w:rPr>
              <w:t xml:space="preserve">kicker</w:t>
            </w:r>
          </w:p>
        </w:tc>
        <w:tc>
          <w:tcPr>
            <w:tcW w:type="dxa" w:w="27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53575B"/>
                <w:sz w:val="14"/>
                <w:szCs w:val="14"/>
              </w:rPr>
              <w:t xml:space="preserve">0.75rem</w:t>
            </w:r>
          </w:p>
        </w:tc>
        <w:tc>
          <w:tcPr>
            <w:tcW w:type="dxa" w:w="78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500</w:t>
            </w:r>
          </w:p>
        </w:tc>
        <w:tc>
          <w:tcPr>
            <w:tcW w:type="dxa" w:w="108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0.16em</w:t>
            </w:r>
          </w:p>
        </w:tc>
        <w:tc>
          <w:tcPr>
            <w:tcW w:type="dxa" w:w="88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1.2</w:t>
            </w:r>
          </w:p>
        </w:tc>
        <w:tc>
          <w:tcPr>
            <w:tcW w:type="dxa" w:w="282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53575B"/>
                <w:sz w:val="15"/>
                <w:szCs w:val="15"/>
              </w:rPr>
              <w:t xml:space="preserve">Eyebrow above a headline. Geist Mono, uppercase, wide.</w:t>
            </w:r>
          </w:p>
        </w:tc>
      </w:tr>
      <w:tr>
        <w:trPr>
          <w:cantSplit/>
        </w:trPr>
        <w:tc>
          <w:tcPr>
            <w:tcW w:type="dxa" w:w="1150"/>
            <w:tcMar>
              <w:top w:type="dxa" w:w="70"/>
              <w:left w:type="dxa" w:w="90"/>
              <w:bottom w:type="dxa" w:w="70"/>
              <w:right w:type="dxa" w:w="90"/>
            </w:tcMar>
            <w:vAlign w:val="center"/>
          </w:tcPr>
          <w:p>
            <w:pPr>
              <w:spacing w:after="0" w:before="0" w:line="250" w:lineRule="auto"/>
            </w:pPr>
            <w:r>
              <w:rPr>
                <w:rFonts w:ascii="Geist Mono" w:cs="Geist Mono" w:eastAsia="Geist Mono" w:hAnsi="Geist Mono"/>
                <w:b/>
                <w:bCs/>
                <w:color w:val="16181A"/>
                <w:sz w:val="16"/>
                <w:szCs w:val="16"/>
              </w:rPr>
              <w:t xml:space="preserve">data</w:t>
            </w:r>
          </w:p>
        </w:tc>
        <w:tc>
          <w:tcPr>
            <w:tcW w:type="dxa" w:w="27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53575B"/>
                <w:sz w:val="14"/>
                <w:szCs w:val="14"/>
              </w:rPr>
              <w:t xml:space="preserve">0.875rem</w:t>
            </w:r>
          </w:p>
        </w:tc>
        <w:tc>
          <w:tcPr>
            <w:tcW w:type="dxa" w:w="78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500</w:t>
            </w:r>
          </w:p>
        </w:tc>
        <w:tc>
          <w:tcPr>
            <w:tcW w:type="dxa" w:w="108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0</w:t>
            </w:r>
          </w:p>
        </w:tc>
        <w:tc>
          <w:tcPr>
            <w:tcW w:type="dxa" w:w="88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1.45</w:t>
            </w:r>
          </w:p>
        </w:tc>
        <w:tc>
          <w:tcPr>
            <w:tcW w:type="dxa" w:w="282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53575B"/>
                <w:sz w:val="15"/>
                <w:szCs w:val="15"/>
              </w:rPr>
              <w:t xml:space="preserve">Every number, code and identifier. Geist Mono, tabular.</w:t>
            </w:r>
          </w:p>
        </w:tc>
      </w:tr>
    </w:tbl>
    <w:p>
      <w:pPr>
        <w:spacing w:after="240" w:before="60" w:line="260" w:lineRule="auto"/>
      </w:pPr>
      <w:r>
        <w:rPr>
          <w:rFonts w:ascii="Plus Jakarta Sans" w:cs="Plus Jakarta Sans" w:eastAsia="Plus Jakarta Sans" w:hAnsi="Plus Jakarta Sans"/>
          <w:color w:val="53575B"/>
          <w:sz w:val="15"/>
          <w:szCs w:val="15"/>
        </w:rPr>
        <w:t xml:space="preserve">Fluid sizes are CSS clamp(): the first value is the floor, the last the ceiling. Weight, tracking and leading are fixed at every size. Everything is Plus Jakarta Sans except the two tokens that name Geist Mono.</w:t>
      </w:r>
    </w:p>
    <w:p>
      <w:pPr>
        <w:pStyle w:val="Heading2"/>
        <w:keepNext/>
        <w:keepLines/>
        <w:spacing w:after="100" w:before="300" w:line="280" w:lineRule="auto"/>
      </w:pPr>
      <w:bookmarkStart w:name="_Toc9000014" w:id="14"/>
      <w:r>
        <w:rPr>
          <w:rFonts w:ascii="Plus Jakarta Sans SemiBold" w:cs="Plus Jakarta Sans SemiBold" w:eastAsia="Plus Jakarta Sans SemiBold" w:hAnsi="Plus Jakarta Sans SemiBold"/>
          <w:color w:val="16181A"/>
          <w:spacing w:val="-6"/>
          <w:sz w:val="25"/>
          <w:szCs w:val="25"/>
        </w:rPr>
        <w:t xml:space="preserve">German typesetting</w:t>
      </w:r>
      <w:bookmarkEnd w:id="14"/>
    </w:p>
    <w:tbl>
      <w:tblPr>
        <w:tblW w:type="dxa" w:w="9412"/>
        <w:tblBorders>
          <w:top w:val="single" w:color="E2E3E0" w:sz="6" w:space="1"/>
          <w:left w:val="none" w:color="auto" w:sz="0" w:space="0"/>
          <w:bottom w:val="single" w:color="E2E3E0" w:sz="6" w:space="1"/>
          <w:right w:val="none" w:color="auto" w:sz="0" w:space="0"/>
          <w:insideH w:val="none" w:color="auto" w:sz="0" w:space="0"/>
          <w:insideV w:val="none" w:color="auto" w:sz="0" w:space="0"/>
        </w:tblBorders>
        <w:tblLayout w:type="fixed"/>
      </w:tblPr>
      <w:tblGrid>
        <w:gridCol w:w="4706"/>
        <w:gridCol w:w="4706"/>
      </w:tblGrid>
      <w:tr>
        <w:trPr>
          <w:cantSplit/>
          <w:tblHeader/>
        </w:trPr>
        <w:tc>
          <w:tcPr>
            <w:tcW w:type="dxa" w:w="4706"/>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Do</w:t>
            </w:r>
          </w:p>
        </w:tc>
        <w:tc>
          <w:tcPr>
            <w:tcW w:type="dxa" w:w="4706"/>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Don’t</w:t>
            </w:r>
          </w:p>
        </w:tc>
      </w:tr>
      <w:tr>
        <w:tc>
          <w:tcPr>
            <w:tcW w:type="dxa" w:w="4706"/>
            <w:tcMar>
              <w:top w:type="dxa" w:w="130"/>
              <w:left w:type="dxa" w:w="90"/>
              <w:bottom w:type="dxa" w:w="130"/>
              <w:right w:type="dxa" w:w="260"/>
            </w:tcMar>
            <w:vAlign w:val="top"/>
          </w:tcPr>
          <w:p>
            <w:pPr>
              <w:pStyle w:val="ListParagraph"/>
              <w:numPr>
                <w:ilvl w:val="0"/>
                <w:numId w:val="2"/>
              </w:numPr>
              <w:spacing w:after="70" w:before="0" w:line="280" w:lineRule="auto"/>
            </w:pPr>
            <w:r>
              <w:rPr>
                <w:rFonts w:ascii="Plus Jakarta Sans" w:cs="Plus Jakarta Sans" w:eastAsia="Plus Jakarta Sans" w:hAnsi="Plus Jakarta Sans"/>
                <w:color w:val="16181A"/>
                <w:sz w:val="17"/>
                <w:szCs w:val="17"/>
              </w:rPr>
              <w:t xml:space="preserve">Quotes are „low-high“ — „Ein Projekt.“, not "…".</w:t>
            </w:r>
          </w:p>
          <w:p>
            <w:pPr>
              <w:pStyle w:val="ListParagraph"/>
              <w:numPr>
                <w:ilvl w:val="0"/>
                <w:numId w:val="2"/>
              </w:numPr>
              <w:spacing w:after="70" w:before="0" w:line="280" w:lineRule="auto"/>
            </w:pPr>
            <w:r>
              <w:rPr>
                <w:rFonts w:ascii="Plus Jakarta Sans" w:cs="Plus Jakarta Sans" w:eastAsia="Plus Jakarta Sans" w:hAnsi="Plus Jakarta Sans"/>
                <w:color w:val="16181A"/>
                <w:sz w:val="17"/>
                <w:szCs w:val="17"/>
              </w:rPr>
              <w:t xml:space="preserve">Thousands separator is a dot, decimal a comma: 1.234.567,89 €.</w:t>
            </w:r>
          </w:p>
          <w:p>
            <w:pPr>
              <w:pStyle w:val="ListParagraph"/>
              <w:numPr>
                <w:ilvl w:val="0"/>
                <w:numId w:val="2"/>
              </w:numPr>
              <w:spacing w:after="70" w:before="0" w:line="280" w:lineRule="auto"/>
            </w:pPr>
            <w:r>
              <w:rPr>
                <w:rFonts w:ascii="Plus Jakarta Sans" w:cs="Plus Jakarta Sans" w:eastAsia="Plus Jakarta Sans" w:hAnsi="Plus Jakarta Sans"/>
                <w:color w:val="16181A"/>
                <w:sz w:val="17"/>
                <w:szCs w:val="17"/>
              </w:rPr>
              <w:t xml:space="preserve">Non-breaking space before €, %, § and after Nr.</w:t>
            </w:r>
          </w:p>
          <w:p>
            <w:pPr>
              <w:pStyle w:val="ListParagraph"/>
              <w:numPr>
                <w:ilvl w:val="0"/>
                <w:numId w:val="2"/>
              </w:numPr>
              <w:spacing w:after="70" w:before="0" w:line="280" w:lineRule="auto"/>
            </w:pPr>
            <w:r>
              <w:rPr>
                <w:rFonts w:ascii="Plus Jakarta Sans" w:cs="Plus Jakarta Sans" w:eastAsia="Plus Jakarta Sans" w:hAnsi="Plus Jakarta Sans"/>
                <w:color w:val="16181A"/>
                <w:sz w:val="17"/>
                <w:szCs w:val="17"/>
              </w:rPr>
              <w:t xml:space="preserve">Dates 29.07.2026. In tables, always two-digit day and month.</w:t>
            </w:r>
          </w:p>
          <w:p>
            <w:pPr>
              <w:pStyle w:val="ListParagraph"/>
              <w:numPr>
                <w:ilvl w:val="0"/>
                <w:numId w:val="2"/>
              </w:numPr>
              <w:spacing w:after="70" w:before="0" w:line="280" w:lineRule="auto"/>
            </w:pPr>
            <w:r>
              <w:rPr>
                <w:rFonts w:ascii="Plus Jakarta Sans" w:cs="Plus Jakarta Sans" w:eastAsia="Plus Jakarta Sans" w:hAnsi="Plus Jakarta Sans"/>
                <w:color w:val="16181A"/>
                <w:sz w:val="17"/>
                <w:szCs w:val="17"/>
              </w:rPr>
              <w:t xml:space="preserve">Enable tnum anywhere numbers stack vertically.</w:t>
            </w:r>
          </w:p>
        </w:tc>
        <w:tc>
          <w:tcPr>
            <w:tcW w:type="dxa" w:w="4706"/>
            <w:tcMar>
              <w:top w:type="dxa" w:w="130"/>
              <w:left w:type="dxa" w:w="260"/>
              <w:bottom w:type="dxa" w:w="130"/>
              <w:right w:type="dxa" w:w="90"/>
            </w:tcMar>
            <w:vAlign w:val="top"/>
          </w:tcPr>
          <w:p>
            <w:pPr>
              <w:pStyle w:val="ListParagraph"/>
              <w:numPr>
                <w:ilvl w:val="0"/>
                <w:numId w:val="3"/>
              </w:numPr>
              <w:spacing w:after="70" w:before="0" w:line="280" w:lineRule="auto"/>
            </w:pPr>
            <w:r>
              <w:rPr>
                <w:rFonts w:ascii="Plus Jakarta Sans" w:cs="Plus Jakarta Sans" w:eastAsia="Plus Jakarta Sans" w:hAnsi="Plus Jakarta Sans"/>
                <w:color w:val="16181A"/>
                <w:sz w:val="17"/>
                <w:szCs w:val="17"/>
              </w:rPr>
              <w:t xml:space="preserve">Set long compounds in all caps — ABSCHLAGSRECHNUNG is unreadable at a glance.</w:t>
            </w:r>
          </w:p>
          <w:p>
            <w:pPr>
              <w:pStyle w:val="ListParagraph"/>
              <w:numPr>
                <w:ilvl w:val="0"/>
                <w:numId w:val="3"/>
              </w:numPr>
              <w:spacing w:after="70" w:before="0" w:line="280" w:lineRule="auto"/>
            </w:pPr>
            <w:r>
              <w:rPr>
                <w:rFonts w:ascii="Plus Jakarta Sans" w:cs="Plus Jakarta Sans" w:eastAsia="Plus Jakarta Sans" w:hAnsi="Plus Jakarta Sans"/>
                <w:color w:val="16181A"/>
                <w:sz w:val="17"/>
                <w:szCs w:val="17"/>
              </w:rPr>
              <w:t xml:space="preserve">Hyphenate a headline. Rewrite it shorter instead.</w:t>
            </w:r>
          </w:p>
          <w:p>
            <w:pPr>
              <w:pStyle w:val="ListParagraph"/>
              <w:numPr>
                <w:ilvl w:val="0"/>
                <w:numId w:val="3"/>
              </w:numPr>
              <w:spacing w:after="70" w:before="0" w:line="280" w:lineRule="auto"/>
            </w:pPr>
            <w:r>
              <w:rPr>
                <w:rFonts w:ascii="Plus Jakarta Sans" w:cs="Plus Jakarta Sans" w:eastAsia="Plus Jakarta Sans" w:hAnsi="Plus Jakarta Sans"/>
                <w:color w:val="16181A"/>
                <w:sz w:val="17"/>
                <w:szCs w:val="17"/>
              </w:rPr>
              <w:t xml:space="preserve">Use tabular figures for a big standalone number — 121 goes gappy.</w:t>
            </w:r>
          </w:p>
          <w:p>
            <w:pPr>
              <w:pStyle w:val="ListParagraph"/>
              <w:numPr>
                <w:ilvl w:val="0"/>
                <w:numId w:val="3"/>
              </w:numPr>
              <w:spacing w:after="70" w:before="0" w:line="280" w:lineRule="auto"/>
            </w:pPr>
            <w:r>
              <w:rPr>
                <w:rFonts w:ascii="Plus Jakarta Sans" w:cs="Plus Jakarta Sans" w:eastAsia="Plus Jakarta Sans" w:hAnsi="Plus Jakarta Sans"/>
                <w:color w:val="16181A"/>
                <w:sz w:val="17"/>
                <w:szCs w:val="17"/>
              </w:rPr>
              <w:t xml:space="preserve">Letterspace lowercase text. Only the mono kicker gets tracking.</w:t>
            </w:r>
          </w:p>
          <w:p>
            <w:pPr>
              <w:pStyle w:val="ListParagraph"/>
              <w:numPr>
                <w:ilvl w:val="0"/>
                <w:numId w:val="3"/>
              </w:numPr>
              <w:spacing w:after="70" w:before="0" w:line="280" w:lineRule="auto"/>
            </w:pPr>
            <w:r>
              <w:rPr>
                <w:rFonts w:ascii="Plus Jakarta Sans" w:cs="Plus Jakarta Sans" w:eastAsia="Plus Jakarta Sans" w:hAnsi="Plus Jakarta Sans"/>
                <w:color w:val="16181A"/>
                <w:sz w:val="17"/>
                <w:szCs w:val="17"/>
              </w:rPr>
              <w:t xml:space="preserve">Mix ss alternates between the site and the documents.</w:t>
            </w:r>
          </w:p>
        </w:tc>
      </w:tr>
    </w:tbl>
    <w:p>
      <w:pPr>
        <w:pStyle w:val="Heading1"/>
        <w:keepNext/>
        <w:pageBreakBefore/>
        <w:spacing w:after="60" w:before="0" w:line="320" w:lineRule="auto"/>
      </w:pPr>
      <w:bookmarkStart w:name="_Toc9000015" w:id="15"/>
      <w:r>
        <w:rPr>
          <w:rFonts w:ascii="Geist Mono" w:cs="Geist Mono" w:eastAsia="Geist Mono" w:hAnsi="Geist Mono"/>
          <w:b/>
          <w:bCs/>
          <w:color w:val="8E2222"/>
          <w:spacing w:val="-8"/>
          <w:sz w:val="44"/>
          <w:szCs w:val="44"/>
        </w:rPr>
        <w:t xml:space="preserve">04</w:t>
      </w:r>
      <w:r>
        <w:rPr>
          <w:rFonts w:ascii="Plus Jakarta Sans" w:cs="Plus Jakarta Sans" w:eastAsia="Plus Jakarta Sans" w:hAnsi="Plus Jakarta Sans"/>
          <w:color w:val="16181A"/>
          <w:sz w:val="44"/>
          <w:szCs w:val="44"/>
        </w:rPr>
        <w:t xml:space="preserve">  </w:t>
      </w:r>
      <w:r>
        <w:rPr>
          <w:rFonts w:ascii="Plus Jakarta Sans ExtraBold" w:cs="Plus Jakarta Sans ExtraBold" w:eastAsia="Plus Jakarta Sans ExtraBold" w:hAnsi="Plus Jakarta Sans ExtraBold"/>
          <w:color w:val="16181A"/>
          <w:spacing w:val="-26"/>
          <w:sz w:val="44"/>
          <w:szCs w:val="44"/>
        </w:rPr>
        <w:t xml:space="preserve">Colour</w:t>
      </w:r>
      <w:bookmarkEnd w:id="15"/>
    </w:p>
    <w:p>
      <w:pPr>
        <w:pBdr>
          <w:bottom w:val="single" w:color="E2E3E0" w:sz="6" w:space="1"/>
        </w:pBdr>
        <w:spacing w:after="200" w:before="40" w:line="40" w:lineRule="exact"/>
      </w:pPr>
      <w:r>
        <w:rPr>
          <w:rFonts w:ascii="Plus Jakarta Sans" w:cs="Plus Jakarta Sans" w:eastAsia="Plus Jakarta Sans" w:hAnsi="Plus Jakarta Sans"/>
          <w:color w:val="16181A"/>
          <w:sz w:val="2"/>
          <w:szCs w:val="2"/>
        </w:rPr>
        <w:t xml:space="preserve"/>
      </w:r>
    </w:p>
    <w:p>
      <w:pPr>
        <w:spacing w:after="280" w:before="0" w:line="330" w:lineRule="auto"/>
      </w:pPr>
      <w:r>
        <w:rPr>
          <w:rFonts w:ascii="Plus Jakarta Sans" w:cs="Plus Jakarta Sans" w:eastAsia="Plus Jakarta Sans" w:hAnsi="Plus Jakarta Sans"/>
          <w:color w:val="53575B"/>
          <w:spacing w:val="-1"/>
          <w:sz w:val="22"/>
          <w:szCs w:val="22"/>
        </w:rPr>
        <w:t xml:space="preserve">Eight ramps, stepped in OKLCH so lightness moves evenly to the eye. Rot and Beton do almost all the work; the rest are data and status hues.</w:t>
      </w:r>
    </w:p>
    <w:p>
      <w:pPr>
        <w:pStyle w:val="Heading2"/>
        <w:keepNext/>
        <w:keepLines/>
        <w:spacing w:after="100" w:before="0" w:line="280" w:lineRule="auto"/>
      </w:pPr>
      <w:bookmarkStart w:name="_Toc9000016" w:id="16"/>
      <w:r>
        <w:rPr>
          <w:rFonts w:ascii="Plus Jakarta Sans SemiBold" w:cs="Plus Jakarta Sans SemiBold" w:eastAsia="Plus Jakarta Sans SemiBold" w:hAnsi="Plus Jakarta Sans SemiBold"/>
          <w:color w:val="16181A"/>
          <w:spacing w:val="-6"/>
          <w:sz w:val="25"/>
          <w:szCs w:val="25"/>
        </w:rPr>
        <w:t xml:space="preserve">The ramps</w:t>
      </w:r>
      <w:bookmarkEnd w:id="16"/>
    </w:p>
    <w:p>
      <w:pPr>
        <w:spacing w:after="180" w:before="0" w:line="300" w:lineRule="auto"/>
      </w:pPr>
      <w:r>
        <w:rPr>
          <w:rFonts w:ascii="Plus Jakarta Sans" w:cs="Plus Jakarta Sans" w:eastAsia="Plus Jakarta Sans" w:hAnsi="Plus Jakarta Sans"/>
          <w:color w:val="53575B"/>
          <w:sz w:val="18"/>
          <w:szCs w:val="18"/>
        </w:rPr>
        <w:t xml:space="preserve">Reference a semantic token in a component, not a ramp step. The ramps exist so the semantic tokens have somewhere to come from.</w:t>
      </w:r>
    </w:p>
    <w:p>
      <w:pPr>
        <w:pStyle w:val="Heading3"/>
        <w:keepNext/>
        <w:keepLines/>
        <w:spacing w:after="70" w:before="100" w:line="260" w:lineRule="auto"/>
      </w:pPr>
      <w:r>
        <w:rPr>
          <w:rFonts w:ascii="Plus Jakarta Sans SemiBold" w:cs="Plus Jakarta Sans SemiBold" w:eastAsia="Plus Jakarta Sans SemiBold" w:hAnsi="Plus Jakarta Sans SemiBold"/>
          <w:color w:val="16181A"/>
          <w:spacing w:val="-4"/>
          <w:sz w:val="20"/>
          <w:szCs w:val="20"/>
        </w:rPr>
        <w:t xml:space="preserve">Rot</w:t>
      </w:r>
    </w:p>
    <w:p>
      <w:pPr>
        <w:spacing w:after="100" w:before="0" w:line="265" w:lineRule="auto"/>
      </w:pPr>
      <w:r>
        <w:rPr>
          <w:rFonts w:ascii="Plus Jakarta Sans" w:cs="Plus Jakarta Sans" w:eastAsia="Plus Jakarta Sans" w:hAnsi="Plus Jakarta Sans"/>
          <w:color w:val="53575B"/>
          <w:sz w:val="17"/>
          <w:szCs w:val="17"/>
        </w:rPr>
        <w:t xml:space="preserve">The brand. German industrial red — the flag’s red pulled toward Bordeaux so it reads as engineering, not alarm. 700 is the light-theme accent, 500 the dark-theme accent.</w:t>
      </w:r>
    </w:p>
    <w:tbl>
      <w:tblPr>
        <w:tblW w:type="dxa" w:w="9412"/>
        <w:tblBorders>
          <w:top w:val="single" w:color="E2E3E0" w:sz="6" w:space="1"/>
          <w:left w:val="none" w:color="auto" w:sz="0" w:space="0"/>
          <w:bottom w:val="single" w:color="E2E3E0" w:sz="6" w:space="1"/>
          <w:right w:val="none" w:color="auto" w:sz="0" w:space="0"/>
          <w:insideH w:val="single" w:color="E2E3E0" w:sz="4" w:space="1"/>
          <w:insideV w:val="none" w:color="auto" w:sz="0" w:space="0"/>
        </w:tblBorders>
        <w:tblLayout w:type="fixed"/>
      </w:tblPr>
      <w:tblGrid>
        <w:gridCol w:w="900"/>
        <w:gridCol w:w="1500"/>
        <w:gridCol w:w="2200"/>
        <w:gridCol w:w="4812"/>
      </w:tblGrid>
      <w:tr>
        <w:trPr>
          <w:cantSplit/>
          <w:tblHeader/>
        </w:trPr>
        <w:tc>
          <w:tcPr>
            <w:tcW w:type="dxa" w:w="900"/>
            <w:tcBorders>
              <w:left w:val="none" w:color="auto" w:sz="0" w:space="0"/>
              <w:bottom w:val="single" w:color="16181A" w:sz="8" w:space="0"/>
              <w:right w:val="none" w:color="auto" w:sz="0" w:space="0"/>
            </w:tcBorders>
            <w:shd w:fill="F4F4F1" w:color="auto" w:val="clear"/>
            <w:tcMar>
              <w:top w:type="dxa" w:w="36"/>
              <w:left w:type="dxa" w:w="90"/>
              <w:bottom w:type="dxa" w:w="36"/>
              <w:right w:type="dxa" w:w="90"/>
            </w:tcMar>
            <w:vAlign w:val="center"/>
          </w:tcPr>
          <w:p>
            <w:pPr>
              <w:spacing w:after="0" w:before="0" w:line="250" w:lineRule="auto"/>
              <w:jc w:val="right"/>
            </w:pPr>
            <w:r>
              <w:rPr>
                <w:rFonts w:ascii="Plus Jakarta Sans SemiBold" w:cs="Plus Jakarta Sans SemiBold" w:eastAsia="Plus Jakarta Sans SemiBold" w:hAnsi="Plus Jakarta Sans SemiBold"/>
                <w:color w:val="16181A"/>
                <w:sz w:val="16"/>
                <w:szCs w:val="16"/>
              </w:rPr>
              <w:t xml:space="preserve">Step</w:t>
            </w:r>
          </w:p>
        </w:tc>
        <w:tc>
          <w:tcPr>
            <w:tcW w:type="dxa" w:w="1500"/>
            <w:tcBorders>
              <w:left w:val="none" w:color="auto" w:sz="0" w:space="0"/>
              <w:bottom w:val="single" w:color="16181A" w:sz="8" w:space="0"/>
              <w:right w:val="none" w:color="auto" w:sz="0" w:space="0"/>
            </w:tcBorders>
            <w:shd w:fill="F4F4F1" w:color="auto" w:val="clear"/>
            <w:tcMar>
              <w:top w:type="dxa" w:w="36"/>
              <w:left w:type="dxa" w:w="90"/>
              <w:bottom w:type="dxa" w:w="36"/>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Hex</w:t>
            </w:r>
          </w:p>
        </w:tc>
        <w:tc>
          <w:tcPr>
            <w:tcW w:type="dxa" w:w="2200"/>
            <w:tcBorders>
              <w:left w:val="none" w:color="auto" w:sz="0" w:space="0"/>
              <w:bottom w:val="single" w:color="16181A" w:sz="8" w:space="0"/>
              <w:right w:val="none" w:color="auto" w:sz="0" w:space="0"/>
            </w:tcBorders>
            <w:shd w:fill="F4F4F1" w:color="auto" w:val="clear"/>
            <w:tcMar>
              <w:top w:type="dxa" w:w="36"/>
              <w:left w:type="dxa" w:w="90"/>
              <w:bottom w:type="dxa" w:w="36"/>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Colour</w:t>
            </w:r>
          </w:p>
        </w:tc>
        <w:tc>
          <w:tcPr>
            <w:tcW w:type="dxa" w:w="4812"/>
            <w:tcBorders>
              <w:left w:val="none" w:color="auto" w:sz="0" w:space="0"/>
              <w:bottom w:val="single" w:color="16181A" w:sz="8" w:space="0"/>
              <w:right w:val="none" w:color="auto" w:sz="0" w:space="0"/>
            </w:tcBorders>
            <w:shd w:fill="F4F4F1" w:color="auto" w:val="clear"/>
            <w:tcMar>
              <w:top w:type="dxa" w:w="36"/>
              <w:left w:type="dxa" w:w="90"/>
              <w:bottom w:type="dxa" w:w="36"/>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Where it is used</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50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#FFEDE9</w:t>
            </w:r>
          </w:p>
        </w:tc>
        <w:tc>
          <w:tcPr>
            <w:tcW w:type="dxa" w:w="2200"/>
            <w:tcBorders>
              <w:top w:val="single" w:color="C5C9CD" w:sz="4" w:space="1"/>
              <w:left w:val="single" w:color="C5C9CD" w:sz="4" w:space="1"/>
              <w:bottom w:val="single" w:color="C5C9CD" w:sz="4" w:space="1"/>
              <w:right w:val="single" w:color="C5C9CD" w:sz="4" w:space="1"/>
            </w:tcBorders>
            <w:shd w:fill="FFEDE9"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Geist Mono" w:cs="Geist Mono" w:eastAsia="Geist Mono" w:hAnsi="Geist Mono"/>
                <w:color w:val="53575B"/>
                <w:sz w:val="13"/>
                <w:szCs w:val="13"/>
              </w:rPr>
              <w:t xml:space="preserve">--bl-accent-soft light</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100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#FFDFD9</w:t>
            </w:r>
          </w:p>
        </w:tc>
        <w:tc>
          <w:tcPr>
            <w:tcW w:type="dxa" w:w="2200"/>
            <w:tcBorders>
              <w:top w:val="single" w:color="C5C9CD" w:sz="4" w:space="1"/>
              <w:left w:val="single" w:color="C5C9CD" w:sz="4" w:space="1"/>
              <w:bottom w:val="single" w:color="C5C9CD" w:sz="4" w:space="1"/>
              <w:right w:val="single" w:color="C5C9CD" w:sz="4" w:space="1"/>
            </w:tcBorders>
            <w:shd w:fill="FFDFD9"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200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#FFBEB5</w:t>
            </w:r>
          </w:p>
        </w:tc>
        <w:tc>
          <w:tcPr>
            <w:tcW w:type="dxa" w:w="2200"/>
            <w:tcBorders>
              <w:top w:val="single" w:color="C5C9CD" w:sz="4" w:space="1"/>
              <w:left w:val="single" w:color="C5C9CD" w:sz="4" w:space="1"/>
              <w:bottom w:val="single" w:color="C5C9CD" w:sz="4" w:space="1"/>
              <w:right w:val="single" w:color="C5C9CD" w:sz="4" w:space="1"/>
            </w:tcBorders>
            <w:shd w:fill="FFBEB5"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300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#FF978B</w:t>
            </w:r>
          </w:p>
        </w:tc>
        <w:tc>
          <w:tcPr>
            <w:tcW w:type="dxa" w:w="2200"/>
            <w:tcBorders>
              <w:top w:val="single" w:color="C5C9CD" w:sz="4" w:space="1"/>
              <w:left w:val="single" w:color="C5C9CD" w:sz="4" w:space="1"/>
              <w:bottom w:val="single" w:color="C5C9CD" w:sz="4" w:space="1"/>
              <w:right w:val="single" w:color="C5C9CD" w:sz="4" w:space="1"/>
            </w:tcBorders>
            <w:shd w:fill="FF978B"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400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#F77469</w:t>
            </w:r>
          </w:p>
        </w:tc>
        <w:tc>
          <w:tcPr>
            <w:tcW w:type="dxa" w:w="2200"/>
            <w:tcBorders>
              <w:top w:val="single" w:color="C5C9CD" w:sz="4" w:space="1"/>
              <w:left w:val="single" w:color="C5C9CD" w:sz="4" w:space="1"/>
              <w:bottom w:val="single" w:color="C5C9CD" w:sz="4" w:space="1"/>
              <w:right w:val="single" w:color="C5C9CD" w:sz="4" w:space="1"/>
            </w:tcBorders>
            <w:shd w:fill="F77469"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Geist Mono" w:cs="Geist Mono" w:eastAsia="Geist Mono" w:hAnsi="Geist Mono"/>
                <w:color w:val="53575B"/>
                <w:sz w:val="13"/>
                <w:szCs w:val="13"/>
              </w:rPr>
              <w:t xml:space="preserve">--bl-accent-hover dark · Kritisch dark</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500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#D8574D</w:t>
            </w:r>
          </w:p>
        </w:tc>
        <w:tc>
          <w:tcPr>
            <w:tcW w:type="dxa" w:w="2200"/>
            <w:tcBorders>
              <w:top w:val="single" w:color="C5C9CD" w:sz="4" w:space="1"/>
              <w:left w:val="single" w:color="C5C9CD" w:sz="4" w:space="1"/>
              <w:bottom w:val="single" w:color="C5C9CD" w:sz="4" w:space="1"/>
              <w:right w:val="single" w:color="C5C9CD" w:sz="4" w:space="1"/>
            </w:tcBorders>
            <w:shd w:fill="D8574D"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Geist Mono" w:cs="Geist Mono" w:eastAsia="Geist Mono" w:hAnsi="Geist Mono"/>
                <w:color w:val="53575B"/>
                <w:sz w:val="13"/>
                <w:szCs w:val="13"/>
              </w:rPr>
              <w:t xml:space="preserve">--bl-accent dark · Data 1 dark</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600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#B83B36</w:t>
            </w:r>
          </w:p>
        </w:tc>
        <w:tc>
          <w:tcPr>
            <w:tcW w:type="dxa" w:w="2200"/>
            <w:tcBorders>
              <w:top w:val="single" w:color="C5C9CD" w:sz="4" w:space="1"/>
              <w:left w:val="single" w:color="C5C9CD" w:sz="4" w:space="1"/>
              <w:bottom w:val="single" w:color="C5C9CD" w:sz="4" w:space="1"/>
              <w:right w:val="single" w:color="C5C9CD" w:sz="4" w:space="1"/>
            </w:tcBorders>
            <w:shd w:fill="B83B36"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Geist Mono" w:cs="Geist Mono" w:eastAsia="Geist Mono" w:hAnsi="Geist Mono"/>
                <w:color w:val="53575B"/>
                <w:sz w:val="13"/>
                <w:szCs w:val="13"/>
              </w:rPr>
              <w:t xml:space="preserve">Kritisch light</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650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#A22626</w:t>
            </w:r>
          </w:p>
        </w:tc>
        <w:tc>
          <w:tcPr>
            <w:tcW w:type="dxa" w:w="2200"/>
            <w:tcBorders>
              <w:top w:val="single" w:color="C5C9CD" w:sz="4" w:space="1"/>
              <w:left w:val="single" w:color="C5C9CD" w:sz="4" w:space="1"/>
              <w:bottom w:val="single" w:color="C5C9CD" w:sz="4" w:space="1"/>
              <w:right w:val="single" w:color="C5C9CD" w:sz="4" w:space="1"/>
            </w:tcBorders>
            <w:shd w:fill="A22626"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Geist Mono" w:cs="Geist Mono" w:eastAsia="Geist Mono" w:hAnsi="Geist Mono"/>
                <w:color w:val="53575B"/>
                <w:sz w:val="13"/>
                <w:szCs w:val="13"/>
              </w:rPr>
              <w:t xml:space="preserve">Data 1 light</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700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#8E2222</w:t>
            </w:r>
          </w:p>
        </w:tc>
        <w:tc>
          <w:tcPr>
            <w:tcW w:type="dxa" w:w="2200"/>
            <w:tcBorders>
              <w:top w:val="single" w:color="C5C9CD" w:sz="4" w:space="1"/>
              <w:left w:val="single" w:color="C5C9CD" w:sz="4" w:space="1"/>
              <w:bottom w:val="single" w:color="C5C9CD" w:sz="4" w:space="1"/>
              <w:right w:val="single" w:color="C5C9CD" w:sz="4" w:space="1"/>
            </w:tcBorders>
            <w:shd w:fill="8E2222"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Geist Mono" w:cs="Geist Mono" w:eastAsia="Geist Mono" w:hAnsi="Geist Mono"/>
                <w:color w:val="53575B"/>
                <w:sz w:val="13"/>
                <w:szCs w:val="13"/>
              </w:rPr>
              <w:t xml:space="preserve">--bl-accent light</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800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#6B1112</w:t>
            </w:r>
          </w:p>
        </w:tc>
        <w:tc>
          <w:tcPr>
            <w:tcW w:type="dxa" w:w="2200"/>
            <w:tcBorders>
              <w:top w:val="single" w:color="C5C9CD" w:sz="4" w:space="1"/>
              <w:left w:val="single" w:color="C5C9CD" w:sz="4" w:space="1"/>
              <w:bottom w:val="single" w:color="C5C9CD" w:sz="4" w:space="1"/>
              <w:right w:val="single" w:color="C5C9CD" w:sz="4" w:space="1"/>
            </w:tcBorders>
            <w:shd w:fill="6B1112"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Geist Mono" w:cs="Geist Mono" w:eastAsia="Geist Mono" w:hAnsi="Geist Mono"/>
                <w:color w:val="53575B"/>
                <w:sz w:val="13"/>
                <w:szCs w:val="13"/>
              </w:rPr>
              <w:t xml:space="preserve">--bl-accent-hover light</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900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#4B0809</w:t>
            </w:r>
          </w:p>
        </w:tc>
        <w:tc>
          <w:tcPr>
            <w:tcW w:type="dxa" w:w="2200"/>
            <w:tcBorders>
              <w:top w:val="single" w:color="C5C9CD" w:sz="4" w:space="1"/>
              <w:left w:val="single" w:color="C5C9CD" w:sz="4" w:space="1"/>
              <w:bottom w:val="single" w:color="C5C9CD" w:sz="4" w:space="1"/>
              <w:right w:val="single" w:color="C5C9CD" w:sz="4" w:space="1"/>
            </w:tcBorders>
            <w:shd w:fill="4B0809"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950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#310404</w:t>
            </w:r>
          </w:p>
        </w:tc>
        <w:tc>
          <w:tcPr>
            <w:tcW w:type="dxa" w:w="2200"/>
            <w:tcBorders>
              <w:top w:val="single" w:color="C5C9CD" w:sz="4" w:space="1"/>
              <w:left w:val="single" w:color="C5C9CD" w:sz="4" w:space="1"/>
              <w:bottom w:val="single" w:color="C5C9CD" w:sz="4" w:space="1"/>
              <w:right w:val="single" w:color="C5C9CD" w:sz="4" w:space="1"/>
            </w:tcBorders>
            <w:shd w:fill="310404"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bl>
    <w:p>
      <w:pPr>
        <w:pStyle w:val="Heading3"/>
        <w:keepNext/>
        <w:keepLines/>
        <w:spacing w:after="70" w:before="240" w:line="260" w:lineRule="auto"/>
      </w:pPr>
      <w:r>
        <w:rPr>
          <w:rFonts w:ascii="Plus Jakarta Sans SemiBold" w:cs="Plus Jakarta Sans SemiBold" w:eastAsia="Plus Jakarta Sans SemiBold" w:hAnsi="Plus Jakarta Sans SemiBold"/>
          <w:color w:val="16181A"/>
          <w:spacing w:val="-4"/>
          <w:sz w:val="20"/>
          <w:szCs w:val="20"/>
        </w:rPr>
        <w:t xml:space="preserve">Beton</w:t>
      </w:r>
    </w:p>
    <w:p>
      <w:pPr>
        <w:spacing w:after="100" w:before="0" w:line="265" w:lineRule="auto"/>
      </w:pPr>
      <w:r>
        <w:rPr>
          <w:rFonts w:ascii="Plus Jakarta Sans" w:cs="Plus Jakarta Sans" w:eastAsia="Plus Jakarta Sans" w:hAnsi="Plus Jakarta Sans"/>
          <w:color w:val="53575B"/>
          <w:sz w:val="17"/>
          <w:szCs w:val="17"/>
        </w:rPr>
        <w:t xml:space="preserve">The neutral. A faintly cool concrete grey that carries every surface, rule and body text in both themes.</w:t>
      </w:r>
    </w:p>
    <w:tbl>
      <w:tblPr>
        <w:tblW w:type="dxa" w:w="9412"/>
        <w:tblBorders>
          <w:top w:val="single" w:color="E2E3E0" w:sz="6" w:space="1"/>
          <w:left w:val="none" w:color="auto" w:sz="0" w:space="0"/>
          <w:bottom w:val="single" w:color="E2E3E0" w:sz="6" w:space="1"/>
          <w:right w:val="none" w:color="auto" w:sz="0" w:space="0"/>
          <w:insideH w:val="single" w:color="E2E3E0" w:sz="4" w:space="1"/>
          <w:insideV w:val="none" w:color="auto" w:sz="0" w:space="0"/>
        </w:tblBorders>
        <w:tblLayout w:type="fixed"/>
      </w:tblPr>
      <w:tblGrid>
        <w:gridCol w:w="900"/>
        <w:gridCol w:w="1500"/>
        <w:gridCol w:w="2200"/>
        <w:gridCol w:w="4812"/>
      </w:tblGrid>
      <w:tr>
        <w:trPr>
          <w:cantSplit/>
          <w:tblHeader/>
        </w:trPr>
        <w:tc>
          <w:tcPr>
            <w:tcW w:type="dxa" w:w="900"/>
            <w:tcBorders>
              <w:left w:val="none" w:color="auto" w:sz="0" w:space="0"/>
              <w:bottom w:val="single" w:color="16181A" w:sz="8" w:space="0"/>
              <w:right w:val="none" w:color="auto" w:sz="0" w:space="0"/>
            </w:tcBorders>
            <w:shd w:fill="F4F4F1" w:color="auto" w:val="clear"/>
            <w:tcMar>
              <w:top w:type="dxa" w:w="36"/>
              <w:left w:type="dxa" w:w="90"/>
              <w:bottom w:type="dxa" w:w="36"/>
              <w:right w:type="dxa" w:w="90"/>
            </w:tcMar>
            <w:vAlign w:val="center"/>
          </w:tcPr>
          <w:p>
            <w:pPr>
              <w:spacing w:after="0" w:before="0" w:line="250" w:lineRule="auto"/>
              <w:jc w:val="right"/>
            </w:pPr>
            <w:r>
              <w:rPr>
                <w:rFonts w:ascii="Plus Jakarta Sans SemiBold" w:cs="Plus Jakarta Sans SemiBold" w:eastAsia="Plus Jakarta Sans SemiBold" w:hAnsi="Plus Jakarta Sans SemiBold"/>
                <w:color w:val="16181A"/>
                <w:sz w:val="16"/>
                <w:szCs w:val="16"/>
              </w:rPr>
              <w:t xml:space="preserve">Step</w:t>
            </w:r>
          </w:p>
        </w:tc>
        <w:tc>
          <w:tcPr>
            <w:tcW w:type="dxa" w:w="1500"/>
            <w:tcBorders>
              <w:left w:val="none" w:color="auto" w:sz="0" w:space="0"/>
              <w:bottom w:val="single" w:color="16181A" w:sz="8" w:space="0"/>
              <w:right w:val="none" w:color="auto" w:sz="0" w:space="0"/>
            </w:tcBorders>
            <w:shd w:fill="F4F4F1" w:color="auto" w:val="clear"/>
            <w:tcMar>
              <w:top w:type="dxa" w:w="36"/>
              <w:left w:type="dxa" w:w="90"/>
              <w:bottom w:type="dxa" w:w="36"/>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Hex</w:t>
            </w:r>
          </w:p>
        </w:tc>
        <w:tc>
          <w:tcPr>
            <w:tcW w:type="dxa" w:w="2200"/>
            <w:tcBorders>
              <w:left w:val="none" w:color="auto" w:sz="0" w:space="0"/>
              <w:bottom w:val="single" w:color="16181A" w:sz="8" w:space="0"/>
              <w:right w:val="none" w:color="auto" w:sz="0" w:space="0"/>
            </w:tcBorders>
            <w:shd w:fill="F4F4F1" w:color="auto" w:val="clear"/>
            <w:tcMar>
              <w:top w:type="dxa" w:w="36"/>
              <w:left w:type="dxa" w:w="90"/>
              <w:bottom w:type="dxa" w:w="36"/>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Colour</w:t>
            </w:r>
          </w:p>
        </w:tc>
        <w:tc>
          <w:tcPr>
            <w:tcW w:type="dxa" w:w="4812"/>
            <w:tcBorders>
              <w:left w:val="none" w:color="auto" w:sz="0" w:space="0"/>
              <w:bottom w:val="single" w:color="16181A" w:sz="8" w:space="0"/>
              <w:right w:val="none" w:color="auto" w:sz="0" w:space="0"/>
            </w:tcBorders>
            <w:shd w:fill="F4F4F1" w:color="auto" w:val="clear"/>
            <w:tcMar>
              <w:top w:type="dxa" w:w="36"/>
              <w:left w:type="dxa" w:w="90"/>
              <w:bottom w:type="dxa" w:w="36"/>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Where it is used</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50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#F7F7F5</w:t>
            </w:r>
          </w:p>
        </w:tc>
        <w:tc>
          <w:tcPr>
            <w:tcW w:type="dxa" w:w="2200"/>
            <w:tcBorders>
              <w:top w:val="single" w:color="C5C9CD" w:sz="4" w:space="1"/>
              <w:left w:val="single" w:color="C5C9CD" w:sz="4" w:space="1"/>
              <w:bottom w:val="single" w:color="C5C9CD" w:sz="4" w:space="1"/>
              <w:right w:val="single" w:color="C5C9CD" w:sz="4" w:space="1"/>
            </w:tcBorders>
            <w:shd w:fill="F7F7F5"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Geist Mono" w:cs="Geist Mono" w:eastAsia="Geist Mono" w:hAnsi="Geist Mono"/>
                <w:color w:val="53575B"/>
                <w:sz w:val="13"/>
                <w:szCs w:val="13"/>
              </w:rPr>
              <w:t xml:space="preserve">--bl-bg light</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100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#EFEFEC</w:t>
            </w:r>
          </w:p>
        </w:tc>
        <w:tc>
          <w:tcPr>
            <w:tcW w:type="dxa" w:w="2200"/>
            <w:tcBorders>
              <w:top w:val="single" w:color="C5C9CD" w:sz="4" w:space="1"/>
              <w:left w:val="single" w:color="C5C9CD" w:sz="4" w:space="1"/>
              <w:bottom w:val="single" w:color="C5C9CD" w:sz="4" w:space="1"/>
              <w:right w:val="single" w:color="C5C9CD" w:sz="4" w:space="1"/>
            </w:tcBorders>
            <w:shd w:fill="EFEFEC"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Geist Mono" w:cs="Geist Mono" w:eastAsia="Geist Mono" w:hAnsi="Geist Mono"/>
                <w:color w:val="53575B"/>
                <w:sz w:val="13"/>
                <w:szCs w:val="13"/>
              </w:rPr>
              <w:t xml:space="preserve">--bl-bg-2 light</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200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#DDE0E3</w:t>
            </w:r>
          </w:p>
        </w:tc>
        <w:tc>
          <w:tcPr>
            <w:tcW w:type="dxa" w:w="2200"/>
            <w:tcBorders>
              <w:top w:val="single" w:color="C5C9CD" w:sz="4" w:space="1"/>
              <w:left w:val="single" w:color="C5C9CD" w:sz="4" w:space="1"/>
              <w:bottom w:val="single" w:color="C5C9CD" w:sz="4" w:space="1"/>
              <w:right w:val="single" w:color="C5C9CD" w:sz="4" w:space="1"/>
            </w:tcBorders>
            <w:shd w:fill="DDE0E3"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300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#C5C9CD</w:t>
            </w:r>
          </w:p>
        </w:tc>
        <w:tc>
          <w:tcPr>
            <w:tcW w:type="dxa" w:w="2200"/>
            <w:tcBorders>
              <w:top w:val="single" w:color="C5C9CD" w:sz="4" w:space="1"/>
              <w:left w:val="single" w:color="C5C9CD" w:sz="4" w:space="1"/>
              <w:bottom w:val="single" w:color="C5C9CD" w:sz="4" w:space="1"/>
              <w:right w:val="single" w:color="C5C9CD" w:sz="4" w:space="1"/>
            </w:tcBorders>
            <w:shd w:fill="C5C9CD"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Geist Mono" w:cs="Geist Mono" w:eastAsia="Geist Mono" w:hAnsi="Geist Mono"/>
                <w:color w:val="53575B"/>
                <w:sz w:val="13"/>
                <w:szCs w:val="13"/>
              </w:rPr>
              <w:t xml:space="preserve">--bl-line-2 light</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400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#A8ACB1</w:t>
            </w:r>
          </w:p>
        </w:tc>
        <w:tc>
          <w:tcPr>
            <w:tcW w:type="dxa" w:w="2200"/>
            <w:tcBorders>
              <w:top w:val="single" w:color="C5C9CD" w:sz="4" w:space="1"/>
              <w:left w:val="single" w:color="C5C9CD" w:sz="4" w:space="1"/>
              <w:bottom w:val="single" w:color="C5C9CD" w:sz="4" w:space="1"/>
              <w:right w:val="single" w:color="C5C9CD" w:sz="4" w:space="1"/>
            </w:tcBorders>
            <w:shd w:fill="A8ACB1"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500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#8C9095</w:t>
            </w:r>
          </w:p>
        </w:tc>
        <w:tc>
          <w:tcPr>
            <w:tcW w:type="dxa" w:w="2200"/>
            <w:tcBorders>
              <w:top w:val="single" w:color="C5C9CD" w:sz="4" w:space="1"/>
              <w:left w:val="single" w:color="C5C9CD" w:sz="4" w:space="1"/>
              <w:bottom w:val="single" w:color="C5C9CD" w:sz="4" w:space="1"/>
              <w:right w:val="single" w:color="C5C9CD" w:sz="4" w:space="1"/>
            </w:tcBorders>
            <w:shd w:fill="8C9095"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Geist Mono" w:cs="Geist Mono" w:eastAsia="Geist Mono" w:hAnsi="Geist Mono"/>
                <w:color w:val="53575B"/>
                <w:sz w:val="13"/>
                <w:szCs w:val="13"/>
              </w:rPr>
              <w:t xml:space="preserve">--bl-ink-3 light</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600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#707478</w:t>
            </w:r>
          </w:p>
        </w:tc>
        <w:tc>
          <w:tcPr>
            <w:tcW w:type="dxa" w:w="2200"/>
            <w:tcBorders>
              <w:top w:val="single" w:color="C5C9CD" w:sz="4" w:space="1"/>
              <w:left w:val="single" w:color="C5C9CD" w:sz="4" w:space="1"/>
              <w:bottom w:val="single" w:color="C5C9CD" w:sz="4" w:space="1"/>
              <w:right w:val="single" w:color="C5C9CD" w:sz="4" w:space="1"/>
            </w:tcBorders>
            <w:shd w:fill="707478"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700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#53575B</w:t>
            </w:r>
          </w:p>
        </w:tc>
        <w:tc>
          <w:tcPr>
            <w:tcW w:type="dxa" w:w="2200"/>
            <w:tcBorders>
              <w:top w:val="single" w:color="C5C9CD" w:sz="4" w:space="1"/>
              <w:left w:val="single" w:color="C5C9CD" w:sz="4" w:space="1"/>
              <w:bottom w:val="single" w:color="C5C9CD" w:sz="4" w:space="1"/>
              <w:right w:val="single" w:color="C5C9CD" w:sz="4" w:space="1"/>
            </w:tcBorders>
            <w:shd w:fill="53575B"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Geist Mono" w:cs="Geist Mono" w:eastAsia="Geist Mono" w:hAnsi="Geist Mono"/>
                <w:color w:val="53575B"/>
                <w:sz w:val="13"/>
                <w:szCs w:val="13"/>
              </w:rPr>
              <w:t xml:space="preserve">--bl-ink-2 light · Neutral light</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800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#383B3F</w:t>
            </w:r>
          </w:p>
        </w:tc>
        <w:tc>
          <w:tcPr>
            <w:tcW w:type="dxa" w:w="2200"/>
            <w:tcBorders>
              <w:top w:val="single" w:color="C5C9CD" w:sz="4" w:space="1"/>
              <w:left w:val="single" w:color="C5C9CD" w:sz="4" w:space="1"/>
              <w:bottom w:val="single" w:color="C5C9CD" w:sz="4" w:space="1"/>
              <w:right w:val="single" w:color="C5C9CD" w:sz="4" w:space="1"/>
            </w:tcBorders>
            <w:shd w:fill="383B3F"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900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#16181A</w:t>
            </w:r>
          </w:p>
        </w:tc>
        <w:tc>
          <w:tcPr>
            <w:tcW w:type="dxa" w:w="2200"/>
            <w:tcBorders>
              <w:top w:val="single" w:color="C5C9CD" w:sz="4" w:space="1"/>
              <w:left w:val="single" w:color="C5C9CD" w:sz="4" w:space="1"/>
              <w:bottom w:val="single" w:color="C5C9CD" w:sz="4" w:space="1"/>
              <w:right w:val="single" w:color="C5C9CD" w:sz="4" w:space="1"/>
            </w:tcBorders>
            <w:shd w:fill="16181A"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Geist Mono" w:cs="Geist Mono" w:eastAsia="Geist Mono" w:hAnsi="Geist Mono"/>
                <w:color w:val="53575B"/>
                <w:sz w:val="13"/>
                <w:szCs w:val="13"/>
              </w:rPr>
              <w:t xml:space="preserve">--bl-ink light</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950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#07080A</w:t>
            </w:r>
          </w:p>
        </w:tc>
        <w:tc>
          <w:tcPr>
            <w:tcW w:type="dxa" w:w="2200"/>
            <w:tcBorders>
              <w:top w:val="single" w:color="C5C9CD" w:sz="4" w:space="1"/>
              <w:left w:val="single" w:color="C5C9CD" w:sz="4" w:space="1"/>
              <w:bottom w:val="single" w:color="C5C9CD" w:sz="4" w:space="1"/>
              <w:right w:val="single" w:color="C5C9CD" w:sz="4" w:space="1"/>
            </w:tcBorders>
            <w:shd w:fill="07080A"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Geist Mono" w:cs="Geist Mono" w:eastAsia="Geist Mono" w:hAnsi="Geist Mono"/>
                <w:color w:val="53575B"/>
                <w:sz w:val="13"/>
                <w:szCs w:val="13"/>
              </w:rPr>
              <w:t xml:space="preserve">--bl-bg dark</w:t>
            </w:r>
          </w:p>
        </w:tc>
      </w:tr>
    </w:tbl>
    <w:p>
      <w:pPr>
        <w:pStyle w:val="Heading3"/>
        <w:keepNext/>
        <w:keepLines/>
        <w:pageBreakBefore/>
        <w:spacing w:after="70" w:before="240" w:line="260" w:lineRule="auto"/>
      </w:pPr>
      <w:r>
        <w:rPr>
          <w:rFonts w:ascii="Plus Jakarta Sans SemiBold" w:cs="Plus Jakarta Sans SemiBold" w:eastAsia="Plus Jakarta Sans SemiBold" w:hAnsi="Plus Jakarta Sans SemiBold"/>
          <w:color w:val="16181A"/>
          <w:spacing w:val="-4"/>
          <w:sz w:val="20"/>
          <w:szCs w:val="20"/>
        </w:rPr>
        <w:t xml:space="preserve">Stahl</w:t>
      </w:r>
    </w:p>
    <w:p>
      <w:pPr>
        <w:spacing w:after="100" w:before="0" w:line="265" w:lineRule="auto"/>
      </w:pPr>
      <w:r>
        <w:rPr>
          <w:rFonts w:ascii="Plus Jakarta Sans" w:cs="Plus Jakarta Sans" w:eastAsia="Plus Jakarta Sans" w:hAnsi="Plus Jakarta Sans"/>
          <w:color w:val="53575B"/>
          <w:sz w:val="17"/>
          <w:szCs w:val="17"/>
        </w:rPr>
        <w:t xml:space="preserve">Steel blue. Second data hue, and the focus ring — the only blue in the system.</w:t>
      </w:r>
    </w:p>
    <w:tbl>
      <w:tblPr>
        <w:tblW w:type="dxa" w:w="9412"/>
        <w:tblBorders>
          <w:top w:val="single" w:color="E2E3E0" w:sz="6" w:space="1"/>
          <w:left w:val="none" w:color="auto" w:sz="0" w:space="0"/>
          <w:bottom w:val="single" w:color="E2E3E0" w:sz="6" w:space="1"/>
          <w:right w:val="none" w:color="auto" w:sz="0" w:space="0"/>
          <w:insideH w:val="single" w:color="E2E3E0" w:sz="4" w:space="1"/>
          <w:insideV w:val="none" w:color="auto" w:sz="0" w:space="0"/>
        </w:tblBorders>
        <w:tblLayout w:type="fixed"/>
      </w:tblPr>
      <w:tblGrid>
        <w:gridCol w:w="900"/>
        <w:gridCol w:w="1500"/>
        <w:gridCol w:w="2200"/>
        <w:gridCol w:w="4812"/>
      </w:tblGrid>
      <w:tr>
        <w:trPr>
          <w:cantSplit/>
          <w:tblHeader/>
        </w:trPr>
        <w:tc>
          <w:tcPr>
            <w:tcW w:type="dxa" w:w="900"/>
            <w:tcBorders>
              <w:left w:val="none" w:color="auto" w:sz="0" w:space="0"/>
              <w:bottom w:val="single" w:color="16181A" w:sz="8" w:space="0"/>
              <w:right w:val="none" w:color="auto" w:sz="0" w:space="0"/>
            </w:tcBorders>
            <w:shd w:fill="F4F4F1" w:color="auto" w:val="clear"/>
            <w:tcMar>
              <w:top w:type="dxa" w:w="36"/>
              <w:left w:type="dxa" w:w="90"/>
              <w:bottom w:type="dxa" w:w="36"/>
              <w:right w:type="dxa" w:w="90"/>
            </w:tcMar>
            <w:vAlign w:val="center"/>
          </w:tcPr>
          <w:p>
            <w:pPr>
              <w:spacing w:after="0" w:before="0" w:line="250" w:lineRule="auto"/>
              <w:jc w:val="right"/>
            </w:pPr>
            <w:r>
              <w:rPr>
                <w:rFonts w:ascii="Plus Jakarta Sans SemiBold" w:cs="Plus Jakarta Sans SemiBold" w:eastAsia="Plus Jakarta Sans SemiBold" w:hAnsi="Plus Jakarta Sans SemiBold"/>
                <w:color w:val="16181A"/>
                <w:sz w:val="16"/>
                <w:szCs w:val="16"/>
              </w:rPr>
              <w:t xml:space="preserve">Step</w:t>
            </w:r>
          </w:p>
        </w:tc>
        <w:tc>
          <w:tcPr>
            <w:tcW w:type="dxa" w:w="1500"/>
            <w:tcBorders>
              <w:left w:val="none" w:color="auto" w:sz="0" w:space="0"/>
              <w:bottom w:val="single" w:color="16181A" w:sz="8" w:space="0"/>
              <w:right w:val="none" w:color="auto" w:sz="0" w:space="0"/>
            </w:tcBorders>
            <w:shd w:fill="F4F4F1" w:color="auto" w:val="clear"/>
            <w:tcMar>
              <w:top w:type="dxa" w:w="36"/>
              <w:left w:type="dxa" w:w="90"/>
              <w:bottom w:type="dxa" w:w="36"/>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Hex</w:t>
            </w:r>
          </w:p>
        </w:tc>
        <w:tc>
          <w:tcPr>
            <w:tcW w:type="dxa" w:w="2200"/>
            <w:tcBorders>
              <w:left w:val="none" w:color="auto" w:sz="0" w:space="0"/>
              <w:bottom w:val="single" w:color="16181A" w:sz="8" w:space="0"/>
              <w:right w:val="none" w:color="auto" w:sz="0" w:space="0"/>
            </w:tcBorders>
            <w:shd w:fill="F4F4F1" w:color="auto" w:val="clear"/>
            <w:tcMar>
              <w:top w:type="dxa" w:w="36"/>
              <w:left w:type="dxa" w:w="90"/>
              <w:bottom w:type="dxa" w:w="36"/>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Colour</w:t>
            </w:r>
          </w:p>
        </w:tc>
        <w:tc>
          <w:tcPr>
            <w:tcW w:type="dxa" w:w="4812"/>
            <w:tcBorders>
              <w:left w:val="none" w:color="auto" w:sz="0" w:space="0"/>
              <w:bottom w:val="single" w:color="16181A" w:sz="8" w:space="0"/>
              <w:right w:val="none" w:color="auto" w:sz="0" w:space="0"/>
            </w:tcBorders>
            <w:shd w:fill="F4F4F1" w:color="auto" w:val="clear"/>
            <w:tcMar>
              <w:top w:type="dxa" w:w="36"/>
              <w:left w:type="dxa" w:w="90"/>
              <w:bottom w:type="dxa" w:w="36"/>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Where it is used</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50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#E6F9FF</w:t>
            </w:r>
          </w:p>
        </w:tc>
        <w:tc>
          <w:tcPr>
            <w:tcW w:type="dxa" w:w="2200"/>
            <w:tcBorders>
              <w:top w:val="single" w:color="C5C9CD" w:sz="4" w:space="1"/>
              <w:left w:val="single" w:color="C5C9CD" w:sz="4" w:space="1"/>
              <w:bottom w:val="single" w:color="C5C9CD" w:sz="4" w:space="1"/>
              <w:right w:val="single" w:color="C5C9CD" w:sz="4" w:space="1"/>
            </w:tcBorders>
            <w:shd w:fill="E6F9FF"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100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#D0F0FF</w:t>
            </w:r>
          </w:p>
        </w:tc>
        <w:tc>
          <w:tcPr>
            <w:tcW w:type="dxa" w:w="2200"/>
            <w:tcBorders>
              <w:top w:val="single" w:color="C5C9CD" w:sz="4" w:space="1"/>
              <w:left w:val="single" w:color="C5C9CD" w:sz="4" w:space="1"/>
              <w:bottom w:val="single" w:color="C5C9CD" w:sz="4" w:space="1"/>
              <w:right w:val="single" w:color="C5C9CD" w:sz="4" w:space="1"/>
            </w:tcBorders>
            <w:shd w:fill="D0F0FF"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200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#A7DBFF</w:t>
            </w:r>
          </w:p>
        </w:tc>
        <w:tc>
          <w:tcPr>
            <w:tcW w:type="dxa" w:w="2200"/>
            <w:tcBorders>
              <w:top w:val="single" w:color="C5C9CD" w:sz="4" w:space="1"/>
              <w:left w:val="single" w:color="C5C9CD" w:sz="4" w:space="1"/>
              <w:bottom w:val="single" w:color="C5C9CD" w:sz="4" w:space="1"/>
              <w:right w:val="single" w:color="C5C9CD" w:sz="4" w:space="1"/>
            </w:tcBorders>
            <w:shd w:fill="A7DBFF"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300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#7AC4FF</w:t>
            </w:r>
          </w:p>
        </w:tc>
        <w:tc>
          <w:tcPr>
            <w:tcW w:type="dxa" w:w="2200"/>
            <w:tcBorders>
              <w:top w:val="single" w:color="C5C9CD" w:sz="4" w:space="1"/>
              <w:left w:val="single" w:color="C5C9CD" w:sz="4" w:space="1"/>
              <w:bottom w:val="single" w:color="C5C9CD" w:sz="4" w:space="1"/>
              <w:right w:val="single" w:color="C5C9CD" w:sz="4" w:space="1"/>
            </w:tcBorders>
            <w:shd w:fill="7AC4FF"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400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#51A9EF</w:t>
            </w:r>
          </w:p>
        </w:tc>
        <w:tc>
          <w:tcPr>
            <w:tcW w:type="dxa" w:w="2200"/>
            <w:tcBorders>
              <w:top w:val="single" w:color="C5C9CD" w:sz="4" w:space="1"/>
              <w:left w:val="single" w:color="C5C9CD" w:sz="4" w:space="1"/>
              <w:bottom w:val="single" w:color="C5C9CD" w:sz="4" w:space="1"/>
              <w:right w:val="single" w:color="C5C9CD" w:sz="4" w:space="1"/>
            </w:tcBorders>
            <w:shd w:fill="51A9EF"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500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#318FD4</w:t>
            </w:r>
          </w:p>
        </w:tc>
        <w:tc>
          <w:tcPr>
            <w:tcW w:type="dxa" w:w="2200"/>
            <w:tcBorders>
              <w:top w:val="single" w:color="C5C9CD" w:sz="4" w:space="1"/>
              <w:left w:val="single" w:color="C5C9CD" w:sz="4" w:space="1"/>
              <w:bottom w:val="single" w:color="C5C9CD" w:sz="4" w:space="1"/>
              <w:right w:val="single" w:color="C5C9CD" w:sz="4" w:space="1"/>
            </w:tcBorders>
            <w:shd w:fill="318FD4"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600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#0972B2</w:t>
            </w:r>
          </w:p>
        </w:tc>
        <w:tc>
          <w:tcPr>
            <w:tcW w:type="dxa" w:w="2200"/>
            <w:tcBorders>
              <w:top w:val="single" w:color="C5C9CD" w:sz="4" w:space="1"/>
              <w:left w:val="single" w:color="C5C9CD" w:sz="4" w:space="1"/>
              <w:bottom w:val="single" w:color="C5C9CD" w:sz="4" w:space="1"/>
              <w:right w:val="single" w:color="C5C9CD" w:sz="4" w:space="1"/>
            </w:tcBorders>
            <w:shd w:fill="0972B2"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700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#00548C</w:t>
            </w:r>
          </w:p>
        </w:tc>
        <w:tc>
          <w:tcPr>
            <w:tcW w:type="dxa" w:w="2200"/>
            <w:tcBorders>
              <w:top w:val="single" w:color="C5C9CD" w:sz="4" w:space="1"/>
              <w:left w:val="single" w:color="C5C9CD" w:sz="4" w:space="1"/>
              <w:bottom w:val="single" w:color="C5C9CD" w:sz="4" w:space="1"/>
              <w:right w:val="single" w:color="C5C9CD" w:sz="4" w:space="1"/>
            </w:tcBorders>
            <w:shd w:fill="00548C"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800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#003C69</w:t>
            </w:r>
          </w:p>
        </w:tc>
        <w:tc>
          <w:tcPr>
            <w:tcW w:type="dxa" w:w="2200"/>
            <w:tcBorders>
              <w:top w:val="single" w:color="C5C9CD" w:sz="4" w:space="1"/>
              <w:left w:val="single" w:color="C5C9CD" w:sz="4" w:space="1"/>
              <w:bottom w:val="single" w:color="C5C9CD" w:sz="4" w:space="1"/>
              <w:right w:val="single" w:color="C5C9CD" w:sz="4" w:space="1"/>
            </w:tcBorders>
            <w:shd w:fill="003C69"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900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#002849</w:t>
            </w:r>
          </w:p>
        </w:tc>
        <w:tc>
          <w:tcPr>
            <w:tcW w:type="dxa" w:w="2200"/>
            <w:tcBorders>
              <w:top w:val="single" w:color="C5C9CD" w:sz="4" w:space="1"/>
              <w:left w:val="single" w:color="C5C9CD" w:sz="4" w:space="1"/>
              <w:bottom w:val="single" w:color="C5C9CD" w:sz="4" w:space="1"/>
              <w:right w:val="single" w:color="C5C9CD" w:sz="4" w:space="1"/>
            </w:tcBorders>
            <w:shd w:fill="002849"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950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#001930</w:t>
            </w:r>
          </w:p>
        </w:tc>
        <w:tc>
          <w:tcPr>
            <w:tcW w:type="dxa" w:w="2200"/>
            <w:tcBorders>
              <w:top w:val="single" w:color="C5C9CD" w:sz="4" w:space="1"/>
              <w:left w:val="single" w:color="C5C9CD" w:sz="4" w:space="1"/>
              <w:bottom w:val="single" w:color="C5C9CD" w:sz="4" w:space="1"/>
              <w:right w:val="single" w:color="C5C9CD" w:sz="4" w:space="1"/>
            </w:tcBorders>
            <w:shd w:fill="001930"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bl>
    <w:p>
      <w:pPr>
        <w:pStyle w:val="Heading3"/>
        <w:keepNext/>
        <w:keepLines/>
        <w:spacing w:after="70" w:before="240" w:line="260" w:lineRule="auto"/>
      </w:pPr>
      <w:r>
        <w:rPr>
          <w:rFonts w:ascii="Plus Jakarta Sans SemiBold" w:cs="Plus Jakarta Sans SemiBold" w:eastAsia="Plus Jakarta Sans SemiBold" w:hAnsi="Plus Jakarta Sans SemiBold"/>
          <w:color w:val="16181A"/>
          <w:spacing w:val="-4"/>
          <w:sz w:val="20"/>
          <w:szCs w:val="20"/>
        </w:rPr>
        <w:t xml:space="preserve">Grün</w:t>
      </w:r>
    </w:p>
    <w:p>
      <w:pPr>
        <w:spacing w:after="100" w:before="0" w:line="265" w:lineRule="auto"/>
      </w:pPr>
      <w:r>
        <w:rPr>
          <w:rFonts w:ascii="Plus Jakarta Sans" w:cs="Plus Jakarta Sans" w:eastAsia="Plus Jakarta Sans" w:hAnsi="Plus Jakarta Sans"/>
          <w:color w:val="53575B"/>
          <w:sz w:val="17"/>
          <w:szCs w:val="17"/>
        </w:rPr>
        <w:t xml:space="preserve">Freigegeben, bezahlt, geprüft. Also data slot 3.</w:t>
      </w:r>
    </w:p>
    <w:tbl>
      <w:tblPr>
        <w:tblW w:type="dxa" w:w="9412"/>
        <w:tblBorders>
          <w:top w:val="single" w:color="E2E3E0" w:sz="6" w:space="1"/>
          <w:left w:val="none" w:color="auto" w:sz="0" w:space="0"/>
          <w:bottom w:val="single" w:color="E2E3E0" w:sz="6" w:space="1"/>
          <w:right w:val="none" w:color="auto" w:sz="0" w:space="0"/>
          <w:insideH w:val="single" w:color="E2E3E0" w:sz="4" w:space="1"/>
          <w:insideV w:val="none" w:color="auto" w:sz="0" w:space="0"/>
        </w:tblBorders>
        <w:tblLayout w:type="fixed"/>
      </w:tblPr>
      <w:tblGrid>
        <w:gridCol w:w="900"/>
        <w:gridCol w:w="1500"/>
        <w:gridCol w:w="2200"/>
        <w:gridCol w:w="4812"/>
      </w:tblGrid>
      <w:tr>
        <w:trPr>
          <w:cantSplit/>
          <w:tblHeader/>
        </w:trPr>
        <w:tc>
          <w:tcPr>
            <w:tcW w:type="dxa" w:w="900"/>
            <w:tcBorders>
              <w:left w:val="none" w:color="auto" w:sz="0" w:space="0"/>
              <w:bottom w:val="single" w:color="16181A" w:sz="8" w:space="0"/>
              <w:right w:val="none" w:color="auto" w:sz="0" w:space="0"/>
            </w:tcBorders>
            <w:shd w:fill="F4F4F1" w:color="auto" w:val="clear"/>
            <w:tcMar>
              <w:top w:type="dxa" w:w="36"/>
              <w:left w:type="dxa" w:w="90"/>
              <w:bottom w:type="dxa" w:w="36"/>
              <w:right w:type="dxa" w:w="90"/>
            </w:tcMar>
            <w:vAlign w:val="center"/>
          </w:tcPr>
          <w:p>
            <w:pPr>
              <w:spacing w:after="0" w:before="0" w:line="250" w:lineRule="auto"/>
              <w:jc w:val="right"/>
            </w:pPr>
            <w:r>
              <w:rPr>
                <w:rFonts w:ascii="Plus Jakarta Sans SemiBold" w:cs="Plus Jakarta Sans SemiBold" w:eastAsia="Plus Jakarta Sans SemiBold" w:hAnsi="Plus Jakarta Sans SemiBold"/>
                <w:color w:val="16181A"/>
                <w:sz w:val="16"/>
                <w:szCs w:val="16"/>
              </w:rPr>
              <w:t xml:space="preserve">Step</w:t>
            </w:r>
          </w:p>
        </w:tc>
        <w:tc>
          <w:tcPr>
            <w:tcW w:type="dxa" w:w="1500"/>
            <w:tcBorders>
              <w:left w:val="none" w:color="auto" w:sz="0" w:space="0"/>
              <w:bottom w:val="single" w:color="16181A" w:sz="8" w:space="0"/>
              <w:right w:val="none" w:color="auto" w:sz="0" w:space="0"/>
            </w:tcBorders>
            <w:shd w:fill="F4F4F1" w:color="auto" w:val="clear"/>
            <w:tcMar>
              <w:top w:type="dxa" w:w="36"/>
              <w:left w:type="dxa" w:w="90"/>
              <w:bottom w:type="dxa" w:w="36"/>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Hex</w:t>
            </w:r>
          </w:p>
        </w:tc>
        <w:tc>
          <w:tcPr>
            <w:tcW w:type="dxa" w:w="2200"/>
            <w:tcBorders>
              <w:left w:val="none" w:color="auto" w:sz="0" w:space="0"/>
              <w:bottom w:val="single" w:color="16181A" w:sz="8" w:space="0"/>
              <w:right w:val="none" w:color="auto" w:sz="0" w:space="0"/>
            </w:tcBorders>
            <w:shd w:fill="F4F4F1" w:color="auto" w:val="clear"/>
            <w:tcMar>
              <w:top w:type="dxa" w:w="36"/>
              <w:left w:type="dxa" w:w="90"/>
              <w:bottom w:type="dxa" w:w="36"/>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Colour</w:t>
            </w:r>
          </w:p>
        </w:tc>
        <w:tc>
          <w:tcPr>
            <w:tcW w:type="dxa" w:w="4812"/>
            <w:tcBorders>
              <w:left w:val="none" w:color="auto" w:sz="0" w:space="0"/>
              <w:bottom w:val="single" w:color="16181A" w:sz="8" w:space="0"/>
              <w:right w:val="none" w:color="auto" w:sz="0" w:space="0"/>
            </w:tcBorders>
            <w:shd w:fill="F4F4F1" w:color="auto" w:val="clear"/>
            <w:tcMar>
              <w:top w:type="dxa" w:w="36"/>
              <w:left w:type="dxa" w:w="90"/>
              <w:bottom w:type="dxa" w:w="36"/>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Where it is used</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50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#E8FCEE</w:t>
            </w:r>
          </w:p>
        </w:tc>
        <w:tc>
          <w:tcPr>
            <w:tcW w:type="dxa" w:w="2200"/>
            <w:tcBorders>
              <w:top w:val="single" w:color="C5C9CD" w:sz="4" w:space="1"/>
              <w:left w:val="single" w:color="C5C9CD" w:sz="4" w:space="1"/>
              <w:bottom w:val="single" w:color="C5C9CD" w:sz="4" w:space="1"/>
              <w:right w:val="single" w:color="C5C9CD" w:sz="4" w:space="1"/>
            </w:tcBorders>
            <w:shd w:fill="E8FCEE"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100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#D3F5DE</w:t>
            </w:r>
          </w:p>
        </w:tc>
        <w:tc>
          <w:tcPr>
            <w:tcW w:type="dxa" w:w="2200"/>
            <w:tcBorders>
              <w:top w:val="single" w:color="C5C9CD" w:sz="4" w:space="1"/>
              <w:left w:val="single" w:color="C5C9CD" w:sz="4" w:space="1"/>
              <w:bottom w:val="single" w:color="C5C9CD" w:sz="4" w:space="1"/>
              <w:right w:val="single" w:color="C5C9CD" w:sz="4" w:space="1"/>
            </w:tcBorders>
            <w:shd w:fill="D3F5DE"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200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#ADE5BF</w:t>
            </w:r>
          </w:p>
        </w:tc>
        <w:tc>
          <w:tcPr>
            <w:tcW w:type="dxa" w:w="2200"/>
            <w:tcBorders>
              <w:top w:val="single" w:color="C5C9CD" w:sz="4" w:space="1"/>
              <w:left w:val="single" w:color="C5C9CD" w:sz="4" w:space="1"/>
              <w:bottom w:val="single" w:color="C5C9CD" w:sz="4" w:space="1"/>
              <w:right w:val="single" w:color="C5C9CD" w:sz="4" w:space="1"/>
            </w:tcBorders>
            <w:shd w:fill="ADE5BF"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300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#82D19E</w:t>
            </w:r>
          </w:p>
        </w:tc>
        <w:tc>
          <w:tcPr>
            <w:tcW w:type="dxa" w:w="2200"/>
            <w:tcBorders>
              <w:top w:val="single" w:color="C5C9CD" w:sz="4" w:space="1"/>
              <w:left w:val="single" w:color="C5C9CD" w:sz="4" w:space="1"/>
              <w:bottom w:val="single" w:color="C5C9CD" w:sz="4" w:space="1"/>
              <w:right w:val="single" w:color="C5C9CD" w:sz="4" w:space="1"/>
            </w:tcBorders>
            <w:shd w:fill="82D19E"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400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#5BB980</w:t>
            </w:r>
          </w:p>
        </w:tc>
        <w:tc>
          <w:tcPr>
            <w:tcW w:type="dxa" w:w="2200"/>
            <w:tcBorders>
              <w:top w:val="single" w:color="C5C9CD" w:sz="4" w:space="1"/>
              <w:left w:val="single" w:color="C5C9CD" w:sz="4" w:space="1"/>
              <w:bottom w:val="single" w:color="C5C9CD" w:sz="4" w:space="1"/>
              <w:right w:val="single" w:color="C5C9CD" w:sz="4" w:space="1"/>
            </w:tcBorders>
            <w:shd w:fill="5BB980"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500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#3D9E66</w:t>
            </w:r>
          </w:p>
        </w:tc>
        <w:tc>
          <w:tcPr>
            <w:tcW w:type="dxa" w:w="2200"/>
            <w:tcBorders>
              <w:top w:val="single" w:color="C5C9CD" w:sz="4" w:space="1"/>
              <w:left w:val="single" w:color="C5C9CD" w:sz="4" w:space="1"/>
              <w:bottom w:val="single" w:color="C5C9CD" w:sz="4" w:space="1"/>
              <w:right w:val="single" w:color="C5C9CD" w:sz="4" w:space="1"/>
            </w:tcBorders>
            <w:shd w:fill="3D9E66"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600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#1B804C</w:t>
            </w:r>
          </w:p>
        </w:tc>
        <w:tc>
          <w:tcPr>
            <w:tcW w:type="dxa" w:w="2200"/>
            <w:tcBorders>
              <w:top w:val="single" w:color="C5C9CD" w:sz="4" w:space="1"/>
              <w:left w:val="single" w:color="C5C9CD" w:sz="4" w:space="1"/>
              <w:bottom w:val="single" w:color="C5C9CD" w:sz="4" w:space="1"/>
              <w:right w:val="single" w:color="C5C9CD" w:sz="4" w:space="1"/>
            </w:tcBorders>
            <w:shd w:fill="1B804C"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700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#006133</w:t>
            </w:r>
          </w:p>
        </w:tc>
        <w:tc>
          <w:tcPr>
            <w:tcW w:type="dxa" w:w="2200"/>
            <w:tcBorders>
              <w:top w:val="single" w:color="C5C9CD" w:sz="4" w:space="1"/>
              <w:left w:val="single" w:color="C5C9CD" w:sz="4" w:space="1"/>
              <w:bottom w:val="single" w:color="C5C9CD" w:sz="4" w:space="1"/>
              <w:right w:val="single" w:color="C5C9CD" w:sz="4" w:space="1"/>
            </w:tcBorders>
            <w:shd w:fill="006133"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800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#004722</w:t>
            </w:r>
          </w:p>
        </w:tc>
        <w:tc>
          <w:tcPr>
            <w:tcW w:type="dxa" w:w="2200"/>
            <w:tcBorders>
              <w:top w:val="single" w:color="C5C9CD" w:sz="4" w:space="1"/>
              <w:left w:val="single" w:color="C5C9CD" w:sz="4" w:space="1"/>
              <w:bottom w:val="single" w:color="C5C9CD" w:sz="4" w:space="1"/>
              <w:right w:val="single" w:color="C5C9CD" w:sz="4" w:space="1"/>
            </w:tcBorders>
            <w:shd w:fill="004722"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900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#003015</w:t>
            </w:r>
          </w:p>
        </w:tc>
        <w:tc>
          <w:tcPr>
            <w:tcW w:type="dxa" w:w="2200"/>
            <w:tcBorders>
              <w:top w:val="single" w:color="C5C9CD" w:sz="4" w:space="1"/>
              <w:left w:val="single" w:color="C5C9CD" w:sz="4" w:space="1"/>
              <w:bottom w:val="single" w:color="C5C9CD" w:sz="4" w:space="1"/>
              <w:right w:val="single" w:color="C5C9CD" w:sz="4" w:space="1"/>
            </w:tcBorders>
            <w:shd w:fill="003015"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950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#001E0B</w:t>
            </w:r>
          </w:p>
        </w:tc>
        <w:tc>
          <w:tcPr>
            <w:tcW w:type="dxa" w:w="2200"/>
            <w:tcBorders>
              <w:top w:val="single" w:color="C5C9CD" w:sz="4" w:space="1"/>
              <w:left w:val="single" w:color="C5C9CD" w:sz="4" w:space="1"/>
              <w:bottom w:val="single" w:color="C5C9CD" w:sz="4" w:space="1"/>
              <w:right w:val="single" w:color="C5C9CD" w:sz="4" w:space="1"/>
            </w:tcBorders>
            <w:shd w:fill="001E0B"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bl>
    <w:p>
      <w:pPr>
        <w:pStyle w:val="Heading3"/>
        <w:keepNext/>
        <w:keepLines/>
        <w:spacing w:after="70" w:before="240" w:line="260" w:lineRule="auto"/>
      </w:pPr>
      <w:r>
        <w:rPr>
          <w:rFonts w:ascii="Plus Jakarta Sans SemiBold" w:cs="Plus Jakarta Sans SemiBold" w:eastAsia="Plus Jakarta Sans SemiBold" w:hAnsi="Plus Jakarta Sans SemiBold"/>
          <w:color w:val="16181A"/>
          <w:spacing w:val="-4"/>
          <w:sz w:val="20"/>
          <w:szCs w:val="20"/>
        </w:rPr>
        <w:t xml:space="preserve">Bernstein</w:t>
      </w:r>
    </w:p>
    <w:p>
      <w:pPr>
        <w:spacing w:after="100" w:before="0" w:line="265" w:lineRule="auto"/>
      </w:pPr>
      <w:r>
        <w:rPr>
          <w:rFonts w:ascii="Plus Jakarta Sans" w:cs="Plus Jakarta Sans" w:eastAsia="Plus Jakarta Sans" w:hAnsi="Plus Jakarta Sans"/>
          <w:color w:val="53575B"/>
          <w:sz w:val="17"/>
          <w:szCs w:val="17"/>
        </w:rPr>
        <w:t xml:space="preserve">In Prüfung, Frist läuft. Also data slot 5.</w:t>
      </w:r>
    </w:p>
    <w:tbl>
      <w:tblPr>
        <w:tblW w:type="dxa" w:w="9412"/>
        <w:tblBorders>
          <w:top w:val="single" w:color="E2E3E0" w:sz="6" w:space="1"/>
          <w:left w:val="none" w:color="auto" w:sz="0" w:space="0"/>
          <w:bottom w:val="single" w:color="E2E3E0" w:sz="6" w:space="1"/>
          <w:right w:val="none" w:color="auto" w:sz="0" w:space="0"/>
          <w:insideH w:val="single" w:color="E2E3E0" w:sz="4" w:space="1"/>
          <w:insideV w:val="none" w:color="auto" w:sz="0" w:space="0"/>
        </w:tblBorders>
        <w:tblLayout w:type="fixed"/>
      </w:tblPr>
      <w:tblGrid>
        <w:gridCol w:w="900"/>
        <w:gridCol w:w="1500"/>
        <w:gridCol w:w="2200"/>
        <w:gridCol w:w="4812"/>
      </w:tblGrid>
      <w:tr>
        <w:trPr>
          <w:cantSplit/>
          <w:tblHeader/>
        </w:trPr>
        <w:tc>
          <w:tcPr>
            <w:tcW w:type="dxa" w:w="900"/>
            <w:tcBorders>
              <w:left w:val="none" w:color="auto" w:sz="0" w:space="0"/>
              <w:bottom w:val="single" w:color="16181A" w:sz="8" w:space="0"/>
              <w:right w:val="none" w:color="auto" w:sz="0" w:space="0"/>
            </w:tcBorders>
            <w:shd w:fill="F4F4F1" w:color="auto" w:val="clear"/>
            <w:tcMar>
              <w:top w:type="dxa" w:w="36"/>
              <w:left w:type="dxa" w:w="90"/>
              <w:bottom w:type="dxa" w:w="36"/>
              <w:right w:type="dxa" w:w="90"/>
            </w:tcMar>
            <w:vAlign w:val="center"/>
          </w:tcPr>
          <w:p>
            <w:pPr>
              <w:spacing w:after="0" w:before="0" w:line="250" w:lineRule="auto"/>
              <w:jc w:val="right"/>
            </w:pPr>
            <w:r>
              <w:rPr>
                <w:rFonts w:ascii="Plus Jakarta Sans SemiBold" w:cs="Plus Jakarta Sans SemiBold" w:eastAsia="Plus Jakarta Sans SemiBold" w:hAnsi="Plus Jakarta Sans SemiBold"/>
                <w:color w:val="16181A"/>
                <w:sz w:val="16"/>
                <w:szCs w:val="16"/>
              </w:rPr>
              <w:t xml:space="preserve">Step</w:t>
            </w:r>
          </w:p>
        </w:tc>
        <w:tc>
          <w:tcPr>
            <w:tcW w:type="dxa" w:w="1500"/>
            <w:tcBorders>
              <w:left w:val="none" w:color="auto" w:sz="0" w:space="0"/>
              <w:bottom w:val="single" w:color="16181A" w:sz="8" w:space="0"/>
              <w:right w:val="none" w:color="auto" w:sz="0" w:space="0"/>
            </w:tcBorders>
            <w:shd w:fill="F4F4F1" w:color="auto" w:val="clear"/>
            <w:tcMar>
              <w:top w:type="dxa" w:w="36"/>
              <w:left w:type="dxa" w:w="90"/>
              <w:bottom w:type="dxa" w:w="36"/>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Hex</w:t>
            </w:r>
          </w:p>
        </w:tc>
        <w:tc>
          <w:tcPr>
            <w:tcW w:type="dxa" w:w="2200"/>
            <w:tcBorders>
              <w:left w:val="none" w:color="auto" w:sz="0" w:space="0"/>
              <w:bottom w:val="single" w:color="16181A" w:sz="8" w:space="0"/>
              <w:right w:val="none" w:color="auto" w:sz="0" w:space="0"/>
            </w:tcBorders>
            <w:shd w:fill="F4F4F1" w:color="auto" w:val="clear"/>
            <w:tcMar>
              <w:top w:type="dxa" w:w="36"/>
              <w:left w:type="dxa" w:w="90"/>
              <w:bottom w:type="dxa" w:w="36"/>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Colour</w:t>
            </w:r>
          </w:p>
        </w:tc>
        <w:tc>
          <w:tcPr>
            <w:tcW w:type="dxa" w:w="4812"/>
            <w:tcBorders>
              <w:left w:val="none" w:color="auto" w:sz="0" w:space="0"/>
              <w:bottom w:val="single" w:color="16181A" w:sz="8" w:space="0"/>
              <w:right w:val="none" w:color="auto" w:sz="0" w:space="0"/>
            </w:tcBorders>
            <w:shd w:fill="F4F4F1" w:color="auto" w:val="clear"/>
            <w:tcMar>
              <w:top w:type="dxa" w:w="36"/>
              <w:left w:type="dxa" w:w="90"/>
              <w:bottom w:type="dxa" w:w="36"/>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Where it is used</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50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#FFF3DE</w:t>
            </w:r>
          </w:p>
        </w:tc>
        <w:tc>
          <w:tcPr>
            <w:tcW w:type="dxa" w:w="2200"/>
            <w:tcBorders>
              <w:top w:val="single" w:color="C5C9CD" w:sz="4" w:space="1"/>
              <w:left w:val="single" w:color="C5C9CD" w:sz="4" w:space="1"/>
              <w:bottom w:val="single" w:color="C5C9CD" w:sz="4" w:space="1"/>
              <w:right w:val="single" w:color="C5C9CD" w:sz="4" w:space="1"/>
            </w:tcBorders>
            <w:shd w:fill="FFF3DE"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100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#FFE7C2</w:t>
            </w:r>
          </w:p>
        </w:tc>
        <w:tc>
          <w:tcPr>
            <w:tcW w:type="dxa" w:w="2200"/>
            <w:tcBorders>
              <w:top w:val="single" w:color="C5C9CD" w:sz="4" w:space="1"/>
              <w:left w:val="single" w:color="C5C9CD" w:sz="4" w:space="1"/>
              <w:bottom w:val="single" w:color="C5C9CD" w:sz="4" w:space="1"/>
              <w:right w:val="single" w:color="C5C9CD" w:sz="4" w:space="1"/>
            </w:tcBorders>
            <w:shd w:fill="FFE7C2"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200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#F9CD8F</w:t>
            </w:r>
          </w:p>
        </w:tc>
        <w:tc>
          <w:tcPr>
            <w:tcW w:type="dxa" w:w="2200"/>
            <w:tcBorders>
              <w:top w:val="single" w:color="C5C9CD" w:sz="4" w:space="1"/>
              <w:left w:val="single" w:color="C5C9CD" w:sz="4" w:space="1"/>
              <w:bottom w:val="single" w:color="C5C9CD" w:sz="4" w:space="1"/>
              <w:right w:val="single" w:color="C5C9CD" w:sz="4" w:space="1"/>
            </w:tcBorders>
            <w:shd w:fill="F9CD8F"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300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#ECB056</w:t>
            </w:r>
          </w:p>
        </w:tc>
        <w:tc>
          <w:tcPr>
            <w:tcW w:type="dxa" w:w="2200"/>
            <w:tcBorders>
              <w:top w:val="single" w:color="C5C9CD" w:sz="4" w:space="1"/>
              <w:left w:val="single" w:color="C5C9CD" w:sz="4" w:space="1"/>
              <w:bottom w:val="single" w:color="C5C9CD" w:sz="4" w:space="1"/>
              <w:right w:val="single" w:color="C5C9CD" w:sz="4" w:space="1"/>
            </w:tcBorders>
            <w:shd w:fill="ECB056"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400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#D79311</w:t>
            </w:r>
          </w:p>
        </w:tc>
        <w:tc>
          <w:tcPr>
            <w:tcW w:type="dxa" w:w="2200"/>
            <w:tcBorders>
              <w:top w:val="single" w:color="C5C9CD" w:sz="4" w:space="1"/>
              <w:left w:val="single" w:color="C5C9CD" w:sz="4" w:space="1"/>
              <w:bottom w:val="single" w:color="C5C9CD" w:sz="4" w:space="1"/>
              <w:right w:val="single" w:color="C5C9CD" w:sz="4" w:space="1"/>
            </w:tcBorders>
            <w:shd w:fill="D79311"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500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#BC7800</w:t>
            </w:r>
          </w:p>
        </w:tc>
        <w:tc>
          <w:tcPr>
            <w:tcW w:type="dxa" w:w="2200"/>
            <w:tcBorders>
              <w:top w:val="single" w:color="C5C9CD" w:sz="4" w:space="1"/>
              <w:left w:val="single" w:color="C5C9CD" w:sz="4" w:space="1"/>
              <w:bottom w:val="single" w:color="C5C9CD" w:sz="4" w:space="1"/>
              <w:right w:val="single" w:color="C5C9CD" w:sz="4" w:space="1"/>
            </w:tcBorders>
            <w:shd w:fill="BC7800"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600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#985E00</w:t>
            </w:r>
          </w:p>
        </w:tc>
        <w:tc>
          <w:tcPr>
            <w:tcW w:type="dxa" w:w="2200"/>
            <w:tcBorders>
              <w:top w:val="single" w:color="C5C9CD" w:sz="4" w:space="1"/>
              <w:left w:val="single" w:color="C5C9CD" w:sz="4" w:space="1"/>
              <w:bottom w:val="single" w:color="C5C9CD" w:sz="4" w:space="1"/>
              <w:right w:val="single" w:color="C5C9CD" w:sz="4" w:space="1"/>
            </w:tcBorders>
            <w:shd w:fill="985E00"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Geist Mono" w:cs="Geist Mono" w:eastAsia="Geist Mono" w:hAnsi="Geist Mono"/>
                <w:color w:val="53575B"/>
                <w:sz w:val="13"/>
                <w:szCs w:val="13"/>
              </w:rPr>
              <w:t xml:space="preserve">Warnung light</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700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#724400</w:t>
            </w:r>
          </w:p>
        </w:tc>
        <w:tc>
          <w:tcPr>
            <w:tcW w:type="dxa" w:w="2200"/>
            <w:tcBorders>
              <w:top w:val="single" w:color="C5C9CD" w:sz="4" w:space="1"/>
              <w:left w:val="single" w:color="C5C9CD" w:sz="4" w:space="1"/>
              <w:bottom w:val="single" w:color="C5C9CD" w:sz="4" w:space="1"/>
              <w:right w:val="single" w:color="C5C9CD" w:sz="4" w:space="1"/>
            </w:tcBorders>
            <w:shd w:fill="724400"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800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#543000</w:t>
            </w:r>
          </w:p>
        </w:tc>
        <w:tc>
          <w:tcPr>
            <w:tcW w:type="dxa" w:w="2200"/>
            <w:tcBorders>
              <w:top w:val="single" w:color="C5C9CD" w:sz="4" w:space="1"/>
              <w:left w:val="single" w:color="C5C9CD" w:sz="4" w:space="1"/>
              <w:bottom w:val="single" w:color="C5C9CD" w:sz="4" w:space="1"/>
              <w:right w:val="single" w:color="C5C9CD" w:sz="4" w:space="1"/>
            </w:tcBorders>
            <w:shd w:fill="543000"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900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#3B1F00</w:t>
            </w:r>
          </w:p>
        </w:tc>
        <w:tc>
          <w:tcPr>
            <w:tcW w:type="dxa" w:w="2200"/>
            <w:tcBorders>
              <w:top w:val="single" w:color="C5C9CD" w:sz="4" w:space="1"/>
              <w:left w:val="single" w:color="C5C9CD" w:sz="4" w:space="1"/>
              <w:bottom w:val="single" w:color="C5C9CD" w:sz="4" w:space="1"/>
              <w:right w:val="single" w:color="C5C9CD" w:sz="4" w:space="1"/>
            </w:tcBorders>
            <w:shd w:fill="3B1F00"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950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#271100</w:t>
            </w:r>
          </w:p>
        </w:tc>
        <w:tc>
          <w:tcPr>
            <w:tcW w:type="dxa" w:w="2200"/>
            <w:tcBorders>
              <w:top w:val="single" w:color="C5C9CD" w:sz="4" w:space="1"/>
              <w:left w:val="single" w:color="C5C9CD" w:sz="4" w:space="1"/>
              <w:bottom w:val="single" w:color="C5C9CD" w:sz="4" w:space="1"/>
              <w:right w:val="single" w:color="C5C9CD" w:sz="4" w:space="1"/>
            </w:tcBorders>
            <w:shd w:fill="271100"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bl>
    <w:p>
      <w:pPr>
        <w:pStyle w:val="Heading3"/>
        <w:keepNext/>
        <w:keepLines/>
        <w:pageBreakBefore/>
        <w:spacing w:after="70" w:before="240" w:line="260" w:lineRule="auto"/>
      </w:pPr>
      <w:r>
        <w:rPr>
          <w:rFonts w:ascii="Plus Jakarta Sans SemiBold" w:cs="Plus Jakarta Sans SemiBold" w:eastAsia="Plus Jakarta Sans SemiBold" w:hAnsi="Plus Jakarta Sans SemiBold"/>
          <w:color w:val="16181A"/>
          <w:spacing w:val="-4"/>
          <w:sz w:val="20"/>
          <w:szCs w:val="20"/>
        </w:rPr>
        <w:t xml:space="preserve">Violett</w:t>
      </w:r>
    </w:p>
    <w:p>
      <w:pPr>
        <w:spacing w:after="100" w:before="0" w:line="265" w:lineRule="auto"/>
      </w:pPr>
      <w:r>
        <w:rPr>
          <w:rFonts w:ascii="Plus Jakarta Sans" w:cs="Plus Jakarta Sans" w:eastAsia="Plus Jakarta Sans" w:hAnsi="Plus Jakarta Sans"/>
          <w:color w:val="53575B"/>
          <w:sz w:val="17"/>
          <w:szCs w:val="17"/>
        </w:rPr>
        <w:t xml:space="preserve">Data slot 2 only. Never a status, never a UI colour.</w:t>
      </w:r>
    </w:p>
    <w:tbl>
      <w:tblPr>
        <w:tblW w:type="dxa" w:w="9412"/>
        <w:tblBorders>
          <w:top w:val="single" w:color="E2E3E0" w:sz="6" w:space="1"/>
          <w:left w:val="none" w:color="auto" w:sz="0" w:space="0"/>
          <w:bottom w:val="single" w:color="E2E3E0" w:sz="6" w:space="1"/>
          <w:right w:val="none" w:color="auto" w:sz="0" w:space="0"/>
          <w:insideH w:val="single" w:color="E2E3E0" w:sz="4" w:space="1"/>
          <w:insideV w:val="none" w:color="auto" w:sz="0" w:space="0"/>
        </w:tblBorders>
        <w:tblLayout w:type="fixed"/>
      </w:tblPr>
      <w:tblGrid>
        <w:gridCol w:w="900"/>
        <w:gridCol w:w="1500"/>
        <w:gridCol w:w="2200"/>
        <w:gridCol w:w="4812"/>
      </w:tblGrid>
      <w:tr>
        <w:trPr>
          <w:cantSplit/>
          <w:tblHeader/>
        </w:trPr>
        <w:tc>
          <w:tcPr>
            <w:tcW w:type="dxa" w:w="900"/>
            <w:tcBorders>
              <w:left w:val="none" w:color="auto" w:sz="0" w:space="0"/>
              <w:bottom w:val="single" w:color="16181A" w:sz="8" w:space="0"/>
              <w:right w:val="none" w:color="auto" w:sz="0" w:space="0"/>
            </w:tcBorders>
            <w:shd w:fill="F4F4F1" w:color="auto" w:val="clear"/>
            <w:tcMar>
              <w:top w:type="dxa" w:w="36"/>
              <w:left w:type="dxa" w:w="90"/>
              <w:bottom w:type="dxa" w:w="36"/>
              <w:right w:type="dxa" w:w="90"/>
            </w:tcMar>
            <w:vAlign w:val="center"/>
          </w:tcPr>
          <w:p>
            <w:pPr>
              <w:spacing w:after="0" w:before="0" w:line="250" w:lineRule="auto"/>
              <w:jc w:val="right"/>
            </w:pPr>
            <w:r>
              <w:rPr>
                <w:rFonts w:ascii="Plus Jakarta Sans SemiBold" w:cs="Plus Jakarta Sans SemiBold" w:eastAsia="Plus Jakarta Sans SemiBold" w:hAnsi="Plus Jakarta Sans SemiBold"/>
                <w:color w:val="16181A"/>
                <w:sz w:val="16"/>
                <w:szCs w:val="16"/>
              </w:rPr>
              <w:t xml:space="preserve">Step</w:t>
            </w:r>
          </w:p>
        </w:tc>
        <w:tc>
          <w:tcPr>
            <w:tcW w:type="dxa" w:w="1500"/>
            <w:tcBorders>
              <w:left w:val="none" w:color="auto" w:sz="0" w:space="0"/>
              <w:bottom w:val="single" w:color="16181A" w:sz="8" w:space="0"/>
              <w:right w:val="none" w:color="auto" w:sz="0" w:space="0"/>
            </w:tcBorders>
            <w:shd w:fill="F4F4F1" w:color="auto" w:val="clear"/>
            <w:tcMar>
              <w:top w:type="dxa" w:w="36"/>
              <w:left w:type="dxa" w:w="90"/>
              <w:bottom w:type="dxa" w:w="36"/>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Hex</w:t>
            </w:r>
          </w:p>
        </w:tc>
        <w:tc>
          <w:tcPr>
            <w:tcW w:type="dxa" w:w="2200"/>
            <w:tcBorders>
              <w:left w:val="none" w:color="auto" w:sz="0" w:space="0"/>
              <w:bottom w:val="single" w:color="16181A" w:sz="8" w:space="0"/>
              <w:right w:val="none" w:color="auto" w:sz="0" w:space="0"/>
            </w:tcBorders>
            <w:shd w:fill="F4F4F1" w:color="auto" w:val="clear"/>
            <w:tcMar>
              <w:top w:type="dxa" w:w="36"/>
              <w:left w:type="dxa" w:w="90"/>
              <w:bottom w:type="dxa" w:w="36"/>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Colour</w:t>
            </w:r>
          </w:p>
        </w:tc>
        <w:tc>
          <w:tcPr>
            <w:tcW w:type="dxa" w:w="4812"/>
            <w:tcBorders>
              <w:left w:val="none" w:color="auto" w:sz="0" w:space="0"/>
              <w:bottom w:val="single" w:color="16181A" w:sz="8" w:space="0"/>
              <w:right w:val="none" w:color="auto" w:sz="0" w:space="0"/>
            </w:tcBorders>
            <w:shd w:fill="F4F4F1" w:color="auto" w:val="clear"/>
            <w:tcMar>
              <w:top w:type="dxa" w:w="36"/>
              <w:left w:type="dxa" w:w="90"/>
              <w:bottom w:type="dxa" w:w="36"/>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Where it is used</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50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#F7F2FF</w:t>
            </w:r>
          </w:p>
        </w:tc>
        <w:tc>
          <w:tcPr>
            <w:tcW w:type="dxa" w:w="2200"/>
            <w:tcBorders>
              <w:top w:val="single" w:color="C5C9CD" w:sz="4" w:space="1"/>
              <w:left w:val="single" w:color="C5C9CD" w:sz="4" w:space="1"/>
              <w:bottom w:val="single" w:color="C5C9CD" w:sz="4" w:space="1"/>
              <w:right w:val="single" w:color="C5C9CD" w:sz="4" w:space="1"/>
            </w:tcBorders>
            <w:shd w:fill="F7F2FF"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100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#EDE5FF</w:t>
            </w:r>
          </w:p>
        </w:tc>
        <w:tc>
          <w:tcPr>
            <w:tcW w:type="dxa" w:w="2200"/>
            <w:tcBorders>
              <w:top w:val="single" w:color="C5C9CD" w:sz="4" w:space="1"/>
              <w:left w:val="single" w:color="C5C9CD" w:sz="4" w:space="1"/>
              <w:bottom w:val="single" w:color="C5C9CD" w:sz="4" w:space="1"/>
              <w:right w:val="single" w:color="C5C9CD" w:sz="4" w:space="1"/>
            </w:tcBorders>
            <w:shd w:fill="EDE5FF"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200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#D8CAFF</w:t>
            </w:r>
          </w:p>
        </w:tc>
        <w:tc>
          <w:tcPr>
            <w:tcW w:type="dxa" w:w="2200"/>
            <w:tcBorders>
              <w:top w:val="single" w:color="C5C9CD" w:sz="4" w:space="1"/>
              <w:left w:val="single" w:color="C5C9CD" w:sz="4" w:space="1"/>
              <w:bottom w:val="single" w:color="C5C9CD" w:sz="4" w:space="1"/>
              <w:right w:val="single" w:color="C5C9CD" w:sz="4" w:space="1"/>
            </w:tcBorders>
            <w:shd w:fill="D8CAFF"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300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#C2ADFF</w:t>
            </w:r>
          </w:p>
        </w:tc>
        <w:tc>
          <w:tcPr>
            <w:tcW w:type="dxa" w:w="2200"/>
            <w:tcBorders>
              <w:top w:val="single" w:color="C5C9CD" w:sz="4" w:space="1"/>
              <w:left w:val="single" w:color="C5C9CD" w:sz="4" w:space="1"/>
              <w:bottom w:val="single" w:color="C5C9CD" w:sz="4" w:space="1"/>
              <w:right w:val="single" w:color="C5C9CD" w:sz="4" w:space="1"/>
            </w:tcBorders>
            <w:shd w:fill="C2ADFF"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400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#A98FEE</w:t>
            </w:r>
          </w:p>
        </w:tc>
        <w:tc>
          <w:tcPr>
            <w:tcW w:type="dxa" w:w="2200"/>
            <w:tcBorders>
              <w:top w:val="single" w:color="C5C9CD" w:sz="4" w:space="1"/>
              <w:left w:val="single" w:color="C5C9CD" w:sz="4" w:space="1"/>
              <w:bottom w:val="single" w:color="C5C9CD" w:sz="4" w:space="1"/>
              <w:right w:val="single" w:color="C5C9CD" w:sz="4" w:space="1"/>
            </w:tcBorders>
            <w:shd w:fill="A98FEE"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500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#8F75D3</w:t>
            </w:r>
          </w:p>
        </w:tc>
        <w:tc>
          <w:tcPr>
            <w:tcW w:type="dxa" w:w="2200"/>
            <w:tcBorders>
              <w:top w:val="single" w:color="C5C9CD" w:sz="4" w:space="1"/>
              <w:left w:val="single" w:color="C5C9CD" w:sz="4" w:space="1"/>
              <w:bottom w:val="single" w:color="C5C9CD" w:sz="4" w:space="1"/>
              <w:right w:val="single" w:color="C5C9CD" w:sz="4" w:space="1"/>
            </w:tcBorders>
            <w:shd w:fill="8F75D3"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600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#7359B2</w:t>
            </w:r>
          </w:p>
        </w:tc>
        <w:tc>
          <w:tcPr>
            <w:tcW w:type="dxa" w:w="2200"/>
            <w:tcBorders>
              <w:top w:val="single" w:color="C5C9CD" w:sz="4" w:space="1"/>
              <w:left w:val="single" w:color="C5C9CD" w:sz="4" w:space="1"/>
              <w:bottom w:val="single" w:color="C5C9CD" w:sz="4" w:space="1"/>
              <w:right w:val="single" w:color="C5C9CD" w:sz="4" w:space="1"/>
            </w:tcBorders>
            <w:shd w:fill="7359B2"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700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#563E8B</w:t>
            </w:r>
          </w:p>
        </w:tc>
        <w:tc>
          <w:tcPr>
            <w:tcW w:type="dxa" w:w="2200"/>
            <w:tcBorders>
              <w:top w:val="single" w:color="C5C9CD" w:sz="4" w:space="1"/>
              <w:left w:val="single" w:color="C5C9CD" w:sz="4" w:space="1"/>
              <w:bottom w:val="single" w:color="C5C9CD" w:sz="4" w:space="1"/>
              <w:right w:val="single" w:color="C5C9CD" w:sz="4" w:space="1"/>
            </w:tcBorders>
            <w:shd w:fill="563E8B"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800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#3E2B68</w:t>
            </w:r>
          </w:p>
        </w:tc>
        <w:tc>
          <w:tcPr>
            <w:tcW w:type="dxa" w:w="2200"/>
            <w:tcBorders>
              <w:top w:val="single" w:color="C5C9CD" w:sz="4" w:space="1"/>
              <w:left w:val="single" w:color="C5C9CD" w:sz="4" w:space="1"/>
              <w:bottom w:val="single" w:color="C5C9CD" w:sz="4" w:space="1"/>
              <w:right w:val="single" w:color="C5C9CD" w:sz="4" w:space="1"/>
            </w:tcBorders>
            <w:shd w:fill="3E2B68"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900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#2A1B49</w:t>
            </w:r>
          </w:p>
        </w:tc>
        <w:tc>
          <w:tcPr>
            <w:tcW w:type="dxa" w:w="2200"/>
            <w:tcBorders>
              <w:top w:val="single" w:color="C5C9CD" w:sz="4" w:space="1"/>
              <w:left w:val="single" w:color="C5C9CD" w:sz="4" w:space="1"/>
              <w:bottom w:val="single" w:color="C5C9CD" w:sz="4" w:space="1"/>
              <w:right w:val="single" w:color="C5C9CD" w:sz="4" w:space="1"/>
            </w:tcBorders>
            <w:shd w:fill="2A1B49"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950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#1A1030</w:t>
            </w:r>
          </w:p>
        </w:tc>
        <w:tc>
          <w:tcPr>
            <w:tcW w:type="dxa" w:w="2200"/>
            <w:tcBorders>
              <w:top w:val="single" w:color="C5C9CD" w:sz="4" w:space="1"/>
              <w:left w:val="single" w:color="C5C9CD" w:sz="4" w:space="1"/>
              <w:bottom w:val="single" w:color="C5C9CD" w:sz="4" w:space="1"/>
              <w:right w:val="single" w:color="C5C9CD" w:sz="4" w:space="1"/>
            </w:tcBorders>
            <w:shd w:fill="1A1030"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bl>
    <w:p>
      <w:pPr>
        <w:pStyle w:val="Heading3"/>
        <w:keepNext/>
        <w:keepLines/>
        <w:spacing w:after="70" w:before="240" w:line="260" w:lineRule="auto"/>
      </w:pPr>
      <w:r>
        <w:rPr>
          <w:rFonts w:ascii="Plus Jakarta Sans SemiBold" w:cs="Plus Jakarta Sans SemiBold" w:eastAsia="Plus Jakarta Sans SemiBold" w:hAnsi="Plus Jakarta Sans SemiBold"/>
          <w:color w:val="16181A"/>
          <w:spacing w:val="-4"/>
          <w:sz w:val="20"/>
          <w:szCs w:val="20"/>
        </w:rPr>
        <w:t xml:space="preserve">Türkis</w:t>
      </w:r>
    </w:p>
    <w:p>
      <w:pPr>
        <w:spacing w:after="100" w:before="0" w:line="265" w:lineRule="auto"/>
      </w:pPr>
      <w:r>
        <w:rPr>
          <w:rFonts w:ascii="Plus Jakarta Sans" w:cs="Plus Jakarta Sans" w:eastAsia="Plus Jakarta Sans" w:hAnsi="Plus Jakarta Sans"/>
          <w:color w:val="53575B"/>
          <w:sz w:val="17"/>
          <w:szCs w:val="17"/>
        </w:rPr>
        <w:t xml:space="preserve">Reserve hue for module accents (BidX / INRX / ReportsX / FleetX / CrewX) when a module needs its own tint.</w:t>
      </w:r>
    </w:p>
    <w:tbl>
      <w:tblPr>
        <w:tblW w:type="dxa" w:w="9412"/>
        <w:tblBorders>
          <w:top w:val="single" w:color="E2E3E0" w:sz="6" w:space="1"/>
          <w:left w:val="none" w:color="auto" w:sz="0" w:space="0"/>
          <w:bottom w:val="single" w:color="E2E3E0" w:sz="6" w:space="1"/>
          <w:right w:val="none" w:color="auto" w:sz="0" w:space="0"/>
          <w:insideH w:val="single" w:color="E2E3E0" w:sz="4" w:space="1"/>
          <w:insideV w:val="none" w:color="auto" w:sz="0" w:space="0"/>
        </w:tblBorders>
        <w:tblLayout w:type="fixed"/>
      </w:tblPr>
      <w:tblGrid>
        <w:gridCol w:w="900"/>
        <w:gridCol w:w="1500"/>
        <w:gridCol w:w="2200"/>
        <w:gridCol w:w="4812"/>
      </w:tblGrid>
      <w:tr>
        <w:trPr>
          <w:cantSplit/>
          <w:tblHeader/>
        </w:trPr>
        <w:tc>
          <w:tcPr>
            <w:tcW w:type="dxa" w:w="900"/>
            <w:tcBorders>
              <w:left w:val="none" w:color="auto" w:sz="0" w:space="0"/>
              <w:bottom w:val="single" w:color="16181A" w:sz="8" w:space="0"/>
              <w:right w:val="none" w:color="auto" w:sz="0" w:space="0"/>
            </w:tcBorders>
            <w:shd w:fill="F4F4F1" w:color="auto" w:val="clear"/>
            <w:tcMar>
              <w:top w:type="dxa" w:w="36"/>
              <w:left w:type="dxa" w:w="90"/>
              <w:bottom w:type="dxa" w:w="36"/>
              <w:right w:type="dxa" w:w="90"/>
            </w:tcMar>
            <w:vAlign w:val="center"/>
          </w:tcPr>
          <w:p>
            <w:pPr>
              <w:spacing w:after="0" w:before="0" w:line="250" w:lineRule="auto"/>
              <w:jc w:val="right"/>
            </w:pPr>
            <w:r>
              <w:rPr>
                <w:rFonts w:ascii="Plus Jakarta Sans SemiBold" w:cs="Plus Jakarta Sans SemiBold" w:eastAsia="Plus Jakarta Sans SemiBold" w:hAnsi="Plus Jakarta Sans SemiBold"/>
                <w:color w:val="16181A"/>
                <w:sz w:val="16"/>
                <w:szCs w:val="16"/>
              </w:rPr>
              <w:t xml:space="preserve">Step</w:t>
            </w:r>
          </w:p>
        </w:tc>
        <w:tc>
          <w:tcPr>
            <w:tcW w:type="dxa" w:w="1500"/>
            <w:tcBorders>
              <w:left w:val="none" w:color="auto" w:sz="0" w:space="0"/>
              <w:bottom w:val="single" w:color="16181A" w:sz="8" w:space="0"/>
              <w:right w:val="none" w:color="auto" w:sz="0" w:space="0"/>
            </w:tcBorders>
            <w:shd w:fill="F4F4F1" w:color="auto" w:val="clear"/>
            <w:tcMar>
              <w:top w:type="dxa" w:w="36"/>
              <w:left w:type="dxa" w:w="90"/>
              <w:bottom w:type="dxa" w:w="36"/>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Hex</w:t>
            </w:r>
          </w:p>
        </w:tc>
        <w:tc>
          <w:tcPr>
            <w:tcW w:type="dxa" w:w="2200"/>
            <w:tcBorders>
              <w:left w:val="none" w:color="auto" w:sz="0" w:space="0"/>
              <w:bottom w:val="single" w:color="16181A" w:sz="8" w:space="0"/>
              <w:right w:val="none" w:color="auto" w:sz="0" w:space="0"/>
            </w:tcBorders>
            <w:shd w:fill="F4F4F1" w:color="auto" w:val="clear"/>
            <w:tcMar>
              <w:top w:type="dxa" w:w="36"/>
              <w:left w:type="dxa" w:w="90"/>
              <w:bottom w:type="dxa" w:w="36"/>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Colour</w:t>
            </w:r>
          </w:p>
        </w:tc>
        <w:tc>
          <w:tcPr>
            <w:tcW w:type="dxa" w:w="4812"/>
            <w:tcBorders>
              <w:left w:val="none" w:color="auto" w:sz="0" w:space="0"/>
              <w:bottom w:val="single" w:color="16181A" w:sz="8" w:space="0"/>
              <w:right w:val="none" w:color="auto" w:sz="0" w:space="0"/>
            </w:tcBorders>
            <w:shd w:fill="F4F4F1" w:color="auto" w:val="clear"/>
            <w:tcMar>
              <w:top w:type="dxa" w:w="36"/>
              <w:left w:type="dxa" w:w="90"/>
              <w:bottom w:type="dxa" w:w="36"/>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Where it is used</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50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#E4FBFB</w:t>
            </w:r>
          </w:p>
        </w:tc>
        <w:tc>
          <w:tcPr>
            <w:tcW w:type="dxa" w:w="2200"/>
            <w:tcBorders>
              <w:top w:val="single" w:color="C5C9CD" w:sz="4" w:space="1"/>
              <w:left w:val="single" w:color="C5C9CD" w:sz="4" w:space="1"/>
              <w:bottom w:val="single" w:color="C5C9CD" w:sz="4" w:space="1"/>
              <w:right w:val="single" w:color="C5C9CD" w:sz="4" w:space="1"/>
            </w:tcBorders>
            <w:shd w:fill="E4FBFB"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100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#CCF5F4</w:t>
            </w:r>
          </w:p>
        </w:tc>
        <w:tc>
          <w:tcPr>
            <w:tcW w:type="dxa" w:w="2200"/>
            <w:tcBorders>
              <w:top w:val="single" w:color="C5C9CD" w:sz="4" w:space="1"/>
              <w:left w:val="single" w:color="C5C9CD" w:sz="4" w:space="1"/>
              <w:bottom w:val="single" w:color="C5C9CD" w:sz="4" w:space="1"/>
              <w:right w:val="single" w:color="C5C9CD" w:sz="4" w:space="1"/>
            </w:tcBorders>
            <w:shd w:fill="CCF5F4"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200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#9FE4E3</w:t>
            </w:r>
          </w:p>
        </w:tc>
        <w:tc>
          <w:tcPr>
            <w:tcW w:type="dxa" w:w="2200"/>
            <w:tcBorders>
              <w:top w:val="single" w:color="C5C9CD" w:sz="4" w:space="1"/>
              <w:left w:val="single" w:color="C5C9CD" w:sz="4" w:space="1"/>
              <w:bottom w:val="single" w:color="C5C9CD" w:sz="4" w:space="1"/>
              <w:right w:val="single" w:color="C5C9CD" w:sz="4" w:space="1"/>
            </w:tcBorders>
            <w:shd w:fill="9FE4E3"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300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#6CCFCF</w:t>
            </w:r>
          </w:p>
        </w:tc>
        <w:tc>
          <w:tcPr>
            <w:tcW w:type="dxa" w:w="2200"/>
            <w:tcBorders>
              <w:top w:val="single" w:color="C5C9CD" w:sz="4" w:space="1"/>
              <w:left w:val="single" w:color="C5C9CD" w:sz="4" w:space="1"/>
              <w:bottom w:val="single" w:color="C5C9CD" w:sz="4" w:space="1"/>
              <w:right w:val="single" w:color="C5C9CD" w:sz="4" w:space="1"/>
            </w:tcBorders>
            <w:shd w:fill="6CCFCF"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400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#37B7B7</w:t>
            </w:r>
          </w:p>
        </w:tc>
        <w:tc>
          <w:tcPr>
            <w:tcW w:type="dxa" w:w="2200"/>
            <w:tcBorders>
              <w:top w:val="single" w:color="C5C9CD" w:sz="4" w:space="1"/>
              <w:left w:val="single" w:color="C5C9CD" w:sz="4" w:space="1"/>
              <w:bottom w:val="single" w:color="C5C9CD" w:sz="4" w:space="1"/>
              <w:right w:val="single" w:color="C5C9CD" w:sz="4" w:space="1"/>
            </w:tcBorders>
            <w:shd w:fill="37B7B7"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500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#009D9D</w:t>
            </w:r>
          </w:p>
        </w:tc>
        <w:tc>
          <w:tcPr>
            <w:tcW w:type="dxa" w:w="2200"/>
            <w:tcBorders>
              <w:top w:val="single" w:color="C5C9CD" w:sz="4" w:space="1"/>
              <w:left w:val="single" w:color="C5C9CD" w:sz="4" w:space="1"/>
              <w:bottom w:val="single" w:color="C5C9CD" w:sz="4" w:space="1"/>
              <w:right w:val="single" w:color="C5C9CD" w:sz="4" w:space="1"/>
            </w:tcBorders>
            <w:shd w:fill="009D9D"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600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#007F7F</w:t>
            </w:r>
          </w:p>
        </w:tc>
        <w:tc>
          <w:tcPr>
            <w:tcW w:type="dxa" w:w="2200"/>
            <w:tcBorders>
              <w:top w:val="single" w:color="C5C9CD" w:sz="4" w:space="1"/>
              <w:left w:val="single" w:color="C5C9CD" w:sz="4" w:space="1"/>
              <w:bottom w:val="single" w:color="C5C9CD" w:sz="4" w:space="1"/>
              <w:right w:val="single" w:color="C5C9CD" w:sz="4" w:space="1"/>
            </w:tcBorders>
            <w:shd w:fill="007F7F"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700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#005F5F</w:t>
            </w:r>
          </w:p>
        </w:tc>
        <w:tc>
          <w:tcPr>
            <w:tcW w:type="dxa" w:w="2200"/>
            <w:tcBorders>
              <w:top w:val="single" w:color="C5C9CD" w:sz="4" w:space="1"/>
              <w:left w:val="single" w:color="C5C9CD" w:sz="4" w:space="1"/>
              <w:bottom w:val="single" w:color="C5C9CD" w:sz="4" w:space="1"/>
              <w:right w:val="single" w:color="C5C9CD" w:sz="4" w:space="1"/>
            </w:tcBorders>
            <w:shd w:fill="005F5F"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800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#004546</w:t>
            </w:r>
          </w:p>
        </w:tc>
        <w:tc>
          <w:tcPr>
            <w:tcW w:type="dxa" w:w="2200"/>
            <w:tcBorders>
              <w:top w:val="single" w:color="C5C9CD" w:sz="4" w:space="1"/>
              <w:left w:val="single" w:color="C5C9CD" w:sz="4" w:space="1"/>
              <w:bottom w:val="single" w:color="C5C9CD" w:sz="4" w:space="1"/>
              <w:right w:val="single" w:color="C5C9CD" w:sz="4" w:space="1"/>
            </w:tcBorders>
            <w:shd w:fill="004546"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900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#002F30</w:t>
            </w:r>
          </w:p>
        </w:tc>
        <w:tc>
          <w:tcPr>
            <w:tcW w:type="dxa" w:w="2200"/>
            <w:tcBorders>
              <w:top w:val="single" w:color="C5C9CD" w:sz="4" w:space="1"/>
              <w:left w:val="single" w:color="C5C9CD" w:sz="4" w:space="1"/>
              <w:bottom w:val="single" w:color="C5C9CD" w:sz="4" w:space="1"/>
              <w:right w:val="single" w:color="C5C9CD" w:sz="4" w:space="1"/>
            </w:tcBorders>
            <w:shd w:fill="002F30"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950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#001E1E</w:t>
            </w:r>
          </w:p>
        </w:tc>
        <w:tc>
          <w:tcPr>
            <w:tcW w:type="dxa" w:w="2200"/>
            <w:tcBorders>
              <w:top w:val="single" w:color="C5C9CD" w:sz="4" w:space="1"/>
              <w:left w:val="single" w:color="C5C9CD" w:sz="4" w:space="1"/>
              <w:bottom w:val="single" w:color="C5C9CD" w:sz="4" w:space="1"/>
              <w:right w:val="single" w:color="C5C9CD" w:sz="4" w:space="1"/>
            </w:tcBorders>
            <w:shd w:fill="001E1E"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bl>
    <w:p>
      <w:pPr>
        <w:pStyle w:val="Heading3"/>
        <w:keepNext/>
        <w:keepLines/>
        <w:spacing w:after="70" w:before="240" w:line="260" w:lineRule="auto"/>
      </w:pPr>
      <w:r>
        <w:rPr>
          <w:rFonts w:ascii="Plus Jakarta Sans SemiBold" w:cs="Plus Jakarta Sans SemiBold" w:eastAsia="Plus Jakarta Sans SemiBold" w:hAnsi="Plus Jakarta Sans SemiBold"/>
          <w:color w:val="16181A"/>
          <w:spacing w:val="-4"/>
          <w:sz w:val="20"/>
          <w:szCs w:val="20"/>
        </w:rPr>
        <w:t xml:space="preserve">Gold</w:t>
      </w:r>
    </w:p>
    <w:p>
      <w:pPr>
        <w:spacing w:after="100" w:before="0" w:line="265" w:lineRule="auto"/>
      </w:pPr>
      <w:r>
        <w:rPr>
          <w:rFonts w:ascii="Plus Jakarta Sans" w:cs="Plus Jakarta Sans" w:eastAsia="Plus Jakarta Sans" w:hAnsi="Plus Jakarta Sans"/>
          <w:color w:val="53575B"/>
          <w:sz w:val="17"/>
          <w:szCs w:val="17"/>
        </w:rPr>
        <w:t xml:space="preserve">Reserved. Appears in exactly one place — the Schwarz-Rot-Gold hairline in the footer. Never anywhere else.</w:t>
      </w:r>
    </w:p>
    <w:tbl>
      <w:tblPr>
        <w:tblW w:type="dxa" w:w="9412"/>
        <w:tblBorders>
          <w:top w:val="single" w:color="E2E3E0" w:sz="6" w:space="1"/>
          <w:left w:val="none" w:color="auto" w:sz="0" w:space="0"/>
          <w:bottom w:val="single" w:color="E2E3E0" w:sz="6" w:space="1"/>
          <w:right w:val="none" w:color="auto" w:sz="0" w:space="0"/>
          <w:insideH w:val="single" w:color="E2E3E0" w:sz="4" w:space="1"/>
          <w:insideV w:val="none" w:color="auto" w:sz="0" w:space="0"/>
        </w:tblBorders>
        <w:tblLayout w:type="fixed"/>
      </w:tblPr>
      <w:tblGrid>
        <w:gridCol w:w="900"/>
        <w:gridCol w:w="1500"/>
        <w:gridCol w:w="2200"/>
        <w:gridCol w:w="4812"/>
      </w:tblGrid>
      <w:tr>
        <w:trPr>
          <w:cantSplit/>
          <w:tblHeader/>
        </w:trPr>
        <w:tc>
          <w:tcPr>
            <w:tcW w:type="dxa" w:w="900"/>
            <w:tcBorders>
              <w:left w:val="none" w:color="auto" w:sz="0" w:space="0"/>
              <w:bottom w:val="single" w:color="16181A" w:sz="8" w:space="0"/>
              <w:right w:val="none" w:color="auto" w:sz="0" w:space="0"/>
            </w:tcBorders>
            <w:shd w:fill="F4F4F1" w:color="auto" w:val="clear"/>
            <w:tcMar>
              <w:top w:type="dxa" w:w="36"/>
              <w:left w:type="dxa" w:w="90"/>
              <w:bottom w:type="dxa" w:w="36"/>
              <w:right w:type="dxa" w:w="90"/>
            </w:tcMar>
            <w:vAlign w:val="center"/>
          </w:tcPr>
          <w:p>
            <w:pPr>
              <w:spacing w:after="0" w:before="0" w:line="250" w:lineRule="auto"/>
              <w:jc w:val="right"/>
            </w:pPr>
            <w:r>
              <w:rPr>
                <w:rFonts w:ascii="Plus Jakarta Sans SemiBold" w:cs="Plus Jakarta Sans SemiBold" w:eastAsia="Plus Jakarta Sans SemiBold" w:hAnsi="Plus Jakarta Sans SemiBold"/>
                <w:color w:val="16181A"/>
                <w:sz w:val="16"/>
                <w:szCs w:val="16"/>
              </w:rPr>
              <w:t xml:space="preserve">Step</w:t>
            </w:r>
          </w:p>
        </w:tc>
        <w:tc>
          <w:tcPr>
            <w:tcW w:type="dxa" w:w="1500"/>
            <w:tcBorders>
              <w:left w:val="none" w:color="auto" w:sz="0" w:space="0"/>
              <w:bottom w:val="single" w:color="16181A" w:sz="8" w:space="0"/>
              <w:right w:val="none" w:color="auto" w:sz="0" w:space="0"/>
            </w:tcBorders>
            <w:shd w:fill="F4F4F1" w:color="auto" w:val="clear"/>
            <w:tcMar>
              <w:top w:type="dxa" w:w="36"/>
              <w:left w:type="dxa" w:w="90"/>
              <w:bottom w:type="dxa" w:w="36"/>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Hex</w:t>
            </w:r>
          </w:p>
        </w:tc>
        <w:tc>
          <w:tcPr>
            <w:tcW w:type="dxa" w:w="2200"/>
            <w:tcBorders>
              <w:left w:val="none" w:color="auto" w:sz="0" w:space="0"/>
              <w:bottom w:val="single" w:color="16181A" w:sz="8" w:space="0"/>
              <w:right w:val="none" w:color="auto" w:sz="0" w:space="0"/>
            </w:tcBorders>
            <w:shd w:fill="F4F4F1" w:color="auto" w:val="clear"/>
            <w:tcMar>
              <w:top w:type="dxa" w:w="36"/>
              <w:left w:type="dxa" w:w="90"/>
              <w:bottom w:type="dxa" w:w="36"/>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Colour</w:t>
            </w:r>
          </w:p>
        </w:tc>
        <w:tc>
          <w:tcPr>
            <w:tcW w:type="dxa" w:w="4812"/>
            <w:tcBorders>
              <w:left w:val="none" w:color="auto" w:sz="0" w:space="0"/>
              <w:bottom w:val="single" w:color="16181A" w:sz="8" w:space="0"/>
              <w:right w:val="none" w:color="auto" w:sz="0" w:space="0"/>
            </w:tcBorders>
            <w:shd w:fill="F4F4F1" w:color="auto" w:val="clear"/>
            <w:tcMar>
              <w:top w:type="dxa" w:w="36"/>
              <w:left w:type="dxa" w:w="90"/>
              <w:bottom w:type="dxa" w:w="36"/>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Where it is used</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50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#FFF5DA</w:t>
            </w:r>
          </w:p>
        </w:tc>
        <w:tc>
          <w:tcPr>
            <w:tcW w:type="dxa" w:w="2200"/>
            <w:tcBorders>
              <w:top w:val="single" w:color="C5C9CD" w:sz="4" w:space="1"/>
              <w:left w:val="single" w:color="C5C9CD" w:sz="4" w:space="1"/>
              <w:bottom w:val="single" w:color="C5C9CD" w:sz="4" w:space="1"/>
              <w:right w:val="single" w:color="C5C9CD" w:sz="4" w:space="1"/>
            </w:tcBorders>
            <w:shd w:fill="FFF5DA"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100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#FCEABA</w:t>
            </w:r>
          </w:p>
        </w:tc>
        <w:tc>
          <w:tcPr>
            <w:tcW w:type="dxa" w:w="2200"/>
            <w:tcBorders>
              <w:top w:val="single" w:color="C5C9CD" w:sz="4" w:space="1"/>
              <w:left w:val="single" w:color="C5C9CD" w:sz="4" w:space="1"/>
              <w:bottom w:val="single" w:color="C5C9CD" w:sz="4" w:space="1"/>
              <w:right w:val="single" w:color="C5C9CD" w:sz="4" w:space="1"/>
            </w:tcBorders>
            <w:shd w:fill="FCEABA"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200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#F0D280</w:t>
            </w:r>
          </w:p>
        </w:tc>
        <w:tc>
          <w:tcPr>
            <w:tcW w:type="dxa" w:w="2200"/>
            <w:tcBorders>
              <w:top w:val="single" w:color="C5C9CD" w:sz="4" w:space="1"/>
              <w:left w:val="single" w:color="C5C9CD" w:sz="4" w:space="1"/>
              <w:bottom w:val="single" w:color="C5C9CD" w:sz="4" w:space="1"/>
              <w:right w:val="single" w:color="C5C9CD" w:sz="4" w:space="1"/>
            </w:tcBorders>
            <w:shd w:fill="F0D280"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300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#E0B836</w:t>
            </w:r>
          </w:p>
        </w:tc>
        <w:tc>
          <w:tcPr>
            <w:tcW w:type="dxa" w:w="2200"/>
            <w:tcBorders>
              <w:top w:val="single" w:color="C5C9CD" w:sz="4" w:space="1"/>
              <w:left w:val="single" w:color="C5C9CD" w:sz="4" w:space="1"/>
              <w:bottom w:val="single" w:color="C5C9CD" w:sz="4" w:space="1"/>
              <w:right w:val="single" w:color="C5C9CD" w:sz="4" w:space="1"/>
            </w:tcBorders>
            <w:shd w:fill="E0B836"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400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#C99C00</w:t>
            </w:r>
          </w:p>
        </w:tc>
        <w:tc>
          <w:tcPr>
            <w:tcW w:type="dxa" w:w="2200"/>
            <w:tcBorders>
              <w:top w:val="single" w:color="C5C9CD" w:sz="4" w:space="1"/>
              <w:left w:val="single" w:color="C5C9CD" w:sz="4" w:space="1"/>
              <w:bottom w:val="single" w:color="C5C9CD" w:sz="4" w:space="1"/>
              <w:right w:val="single" w:color="C5C9CD" w:sz="4" w:space="1"/>
            </w:tcBorders>
            <w:shd w:fill="C99C00"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500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#AA8300</w:t>
            </w:r>
          </w:p>
        </w:tc>
        <w:tc>
          <w:tcPr>
            <w:tcW w:type="dxa" w:w="2200"/>
            <w:tcBorders>
              <w:top w:val="single" w:color="C5C9CD" w:sz="4" w:space="1"/>
              <w:left w:val="single" w:color="C5C9CD" w:sz="4" w:space="1"/>
              <w:bottom w:val="single" w:color="C5C9CD" w:sz="4" w:space="1"/>
              <w:right w:val="single" w:color="C5C9CD" w:sz="4" w:space="1"/>
            </w:tcBorders>
            <w:shd w:fill="AA8300"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600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#886700</w:t>
            </w:r>
          </w:p>
        </w:tc>
        <w:tc>
          <w:tcPr>
            <w:tcW w:type="dxa" w:w="2200"/>
            <w:tcBorders>
              <w:top w:val="single" w:color="C5C9CD" w:sz="4" w:space="1"/>
              <w:left w:val="single" w:color="C5C9CD" w:sz="4" w:space="1"/>
              <w:bottom w:val="single" w:color="C5C9CD" w:sz="4" w:space="1"/>
              <w:right w:val="single" w:color="C5C9CD" w:sz="4" w:space="1"/>
            </w:tcBorders>
            <w:shd w:fill="886700"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700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#664C00</w:t>
            </w:r>
          </w:p>
        </w:tc>
        <w:tc>
          <w:tcPr>
            <w:tcW w:type="dxa" w:w="2200"/>
            <w:tcBorders>
              <w:top w:val="single" w:color="C5C9CD" w:sz="4" w:space="1"/>
              <w:left w:val="single" w:color="C5C9CD" w:sz="4" w:space="1"/>
              <w:bottom w:val="single" w:color="C5C9CD" w:sz="4" w:space="1"/>
              <w:right w:val="single" w:color="C5C9CD" w:sz="4" w:space="1"/>
            </w:tcBorders>
            <w:shd w:fill="664C00"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800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#4B3600</w:t>
            </w:r>
          </w:p>
        </w:tc>
        <w:tc>
          <w:tcPr>
            <w:tcW w:type="dxa" w:w="2200"/>
            <w:tcBorders>
              <w:top w:val="single" w:color="C5C9CD" w:sz="4" w:space="1"/>
              <w:left w:val="single" w:color="C5C9CD" w:sz="4" w:space="1"/>
              <w:bottom w:val="single" w:color="C5C9CD" w:sz="4" w:space="1"/>
              <w:right w:val="single" w:color="C5C9CD" w:sz="4" w:space="1"/>
            </w:tcBorders>
            <w:shd w:fill="4B3600"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900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#342300</w:t>
            </w:r>
          </w:p>
        </w:tc>
        <w:tc>
          <w:tcPr>
            <w:tcW w:type="dxa" w:w="2200"/>
            <w:tcBorders>
              <w:top w:val="single" w:color="C5C9CD" w:sz="4" w:space="1"/>
              <w:left w:val="single" w:color="C5C9CD" w:sz="4" w:space="1"/>
              <w:bottom w:val="single" w:color="C5C9CD" w:sz="4" w:space="1"/>
              <w:right w:val="single" w:color="C5C9CD" w:sz="4" w:space="1"/>
            </w:tcBorders>
            <w:shd w:fill="342300"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r>
        <w:trPr>
          <w:cantSplit/>
        </w:trPr>
        <w:tc>
          <w:tcPr>
            <w:tcW w:type="dxa" w:w="90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b/>
                <w:bCs/>
                <w:color w:val="16181A"/>
                <w:sz w:val="15"/>
                <w:szCs w:val="15"/>
              </w:rPr>
              <w:t xml:space="preserve">950</w:t>
            </w:r>
          </w:p>
        </w:tc>
        <w:tc>
          <w:tcPr>
            <w:tcW w:type="dxa" w:w="150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5"/>
                <w:szCs w:val="15"/>
              </w:rPr>
              <w:t xml:space="preserve">#221500</w:t>
            </w:r>
          </w:p>
        </w:tc>
        <w:tc>
          <w:tcPr>
            <w:tcW w:type="dxa" w:w="2200"/>
            <w:tcBorders>
              <w:top w:val="single" w:color="C5C9CD" w:sz="4" w:space="1"/>
              <w:left w:val="single" w:color="C5C9CD" w:sz="4" w:space="1"/>
              <w:bottom w:val="single" w:color="C5C9CD" w:sz="4" w:space="1"/>
              <w:right w:val="single" w:color="C5C9CD" w:sz="4" w:space="1"/>
            </w:tcBorders>
            <w:shd w:fill="221500"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481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3"/>
                <w:szCs w:val="13"/>
              </w:rPr>
              <w:t xml:space="preserve">—</w:t>
            </w:r>
          </w:p>
        </w:tc>
      </w:tr>
    </w:tbl>
    <w:p>
      <w:pPr>
        <w:pStyle w:val="Heading2"/>
        <w:keepNext/>
        <w:keepLines/>
        <w:pageBreakBefore/>
        <w:spacing w:after="100" w:before="0" w:line="280" w:lineRule="auto"/>
      </w:pPr>
      <w:bookmarkStart w:name="_Toc9000017" w:id="17"/>
      <w:r>
        <w:rPr>
          <w:rFonts w:ascii="Plus Jakarta Sans SemiBold" w:cs="Plus Jakarta Sans SemiBold" w:eastAsia="Plus Jakarta Sans SemiBold" w:hAnsi="Plus Jakarta Sans SemiBold"/>
          <w:color w:val="16181A"/>
          <w:spacing w:val="-6"/>
          <w:sz w:val="25"/>
          <w:szCs w:val="25"/>
        </w:rPr>
        <w:t xml:space="preserve">Semantic tokens</w:t>
      </w:r>
      <w:bookmarkEnd w:id="17"/>
    </w:p>
    <w:p>
      <w:pPr>
        <w:spacing w:after="160" w:before="0" w:line="300" w:lineRule="auto"/>
      </w:pPr>
      <w:r>
        <w:rPr>
          <w:rFonts w:ascii="Plus Jakarta Sans" w:cs="Plus Jakarta Sans" w:eastAsia="Plus Jakarta Sans" w:hAnsi="Plus Jakarta Sans"/>
          <w:color w:val="53575B"/>
          <w:sz w:val="18"/>
          <w:szCs w:val="18"/>
        </w:rPr>
        <w:t xml:space="preserve">Never reference a ramp step in a component — reference the semantic token, and both themes take care of themselves. Contrast is measured against that theme’s </w:t>
      </w:r>
      <w:r>
        <w:rPr>
          <w:rFonts w:ascii="Geist Mono" w:cs="Geist Mono" w:eastAsia="Geist Mono" w:hAnsi="Geist Mono"/>
          <w:color w:val="16181A"/>
          <w:sz w:val="16"/>
          <w:szCs w:val="16"/>
        </w:rPr>
        <w:t xml:space="preserve">--bl-bg</w:t>
      </w:r>
      <w:r>
        <w:rPr>
          <w:rFonts w:ascii="Plus Jakarta Sans" w:cs="Plus Jakarta Sans" w:eastAsia="Plus Jakarta Sans" w:hAnsi="Plus Jakarta Sans"/>
          <w:color w:val="53575B"/>
          <w:sz w:val="18"/>
          <w:szCs w:val="18"/>
        </w:rPr>
        <w:t xml:space="preserve">, light value first.</w:t>
      </w:r>
    </w:p>
    <w:tbl>
      <w:tblPr>
        <w:tblW w:type="dxa" w:w="9412"/>
        <w:tblBorders>
          <w:top w:val="single" w:color="E2E3E0" w:sz="6" w:space="1"/>
          <w:left w:val="none" w:color="auto" w:sz="0" w:space="0"/>
          <w:bottom w:val="single" w:color="E2E3E0" w:sz="6" w:space="1"/>
          <w:right w:val="none" w:color="auto" w:sz="0" w:space="0"/>
          <w:insideH w:val="single" w:color="E2E3E0" w:sz="4" w:space="1"/>
          <w:insideV w:val="none" w:color="auto" w:sz="0" w:space="0"/>
        </w:tblBorders>
        <w:tblLayout w:type="fixed"/>
      </w:tblPr>
      <w:tblGrid>
        <w:gridCol w:w="1760"/>
        <w:gridCol w:w="1120"/>
        <w:gridCol w:w="520"/>
        <w:gridCol w:w="1560"/>
        <w:gridCol w:w="520"/>
        <w:gridCol w:w="1150"/>
        <w:gridCol w:w="2782"/>
      </w:tblGrid>
      <w:tr>
        <w:trPr>
          <w:cantSplit/>
          <w:tblHeader/>
        </w:trPr>
        <w:tc>
          <w:tcPr>
            <w:tcW w:type="dxa" w:w="1760"/>
            <w:tcBorders>
              <w:left w:val="none" w:color="auto" w:sz="0" w:space="0"/>
              <w:bottom w:val="single" w:color="16181A" w:sz="8" w:space="0"/>
              <w:right w:val="none" w:color="auto" w:sz="0" w:space="0"/>
            </w:tcBorders>
            <w:shd w:fill="F4F4F1" w:color="auto" w:val="clear"/>
            <w:tcMar>
              <w:top w:type="dxa" w:w="36"/>
              <w:left w:type="dxa" w:w="90"/>
              <w:bottom w:type="dxa" w:w="36"/>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Token</w:t>
            </w:r>
          </w:p>
        </w:tc>
        <w:tc>
          <w:tcPr>
            <w:tcW w:type="dxa" w:w="1120"/>
            <w:tcBorders>
              <w:left w:val="none" w:color="auto" w:sz="0" w:space="0"/>
              <w:bottom w:val="single" w:color="16181A" w:sz="8" w:space="0"/>
              <w:right w:val="none" w:color="auto" w:sz="0" w:space="0"/>
            </w:tcBorders>
            <w:shd w:fill="F4F4F1" w:color="auto" w:val="clear"/>
            <w:tcMar>
              <w:top w:type="dxa" w:w="36"/>
              <w:left w:type="dxa" w:w="90"/>
              <w:bottom w:type="dxa" w:w="36"/>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Light</w:t>
            </w:r>
          </w:p>
        </w:tc>
        <w:tc>
          <w:tcPr>
            <w:tcW w:type="dxa" w:w="520"/>
            <w:tcBorders>
              <w:left w:val="none" w:color="auto" w:sz="0" w:space="0"/>
              <w:bottom w:val="single" w:color="16181A" w:sz="8" w:space="0"/>
              <w:right w:val="none" w:color="auto" w:sz="0" w:space="0"/>
            </w:tcBorders>
            <w:shd w:fill="F4F4F1" w:color="auto" w:val="clear"/>
            <w:tcMar>
              <w:top w:type="dxa" w:w="36"/>
              <w:left w:type="dxa" w:w="90"/>
              <w:bottom w:type="dxa" w:w="36"/>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
            </w:r>
          </w:p>
        </w:tc>
        <w:tc>
          <w:tcPr>
            <w:tcW w:type="dxa" w:w="1560"/>
            <w:tcBorders>
              <w:left w:val="none" w:color="auto" w:sz="0" w:space="0"/>
              <w:bottom w:val="single" w:color="16181A" w:sz="8" w:space="0"/>
              <w:right w:val="none" w:color="auto" w:sz="0" w:space="0"/>
            </w:tcBorders>
            <w:shd w:fill="F4F4F1" w:color="auto" w:val="clear"/>
            <w:tcMar>
              <w:top w:type="dxa" w:w="36"/>
              <w:left w:type="dxa" w:w="90"/>
              <w:bottom w:type="dxa" w:w="36"/>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Dark</w:t>
            </w:r>
          </w:p>
        </w:tc>
        <w:tc>
          <w:tcPr>
            <w:tcW w:type="dxa" w:w="520"/>
            <w:tcBorders>
              <w:left w:val="none" w:color="auto" w:sz="0" w:space="0"/>
              <w:bottom w:val="single" w:color="16181A" w:sz="8" w:space="0"/>
              <w:right w:val="none" w:color="auto" w:sz="0" w:space="0"/>
            </w:tcBorders>
            <w:shd w:fill="F4F4F1" w:color="auto" w:val="clear"/>
            <w:tcMar>
              <w:top w:type="dxa" w:w="36"/>
              <w:left w:type="dxa" w:w="90"/>
              <w:bottom w:type="dxa" w:w="36"/>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
            </w:r>
          </w:p>
        </w:tc>
        <w:tc>
          <w:tcPr>
            <w:tcW w:type="dxa" w:w="1150"/>
            <w:tcBorders>
              <w:left w:val="none" w:color="auto" w:sz="0" w:space="0"/>
              <w:bottom w:val="single" w:color="16181A" w:sz="8" w:space="0"/>
              <w:right w:val="none" w:color="auto" w:sz="0" w:space="0"/>
            </w:tcBorders>
            <w:shd w:fill="F4F4F1" w:color="auto" w:val="clear"/>
            <w:tcMar>
              <w:top w:type="dxa" w:w="36"/>
              <w:left w:type="dxa" w:w="90"/>
              <w:bottom w:type="dxa" w:w="36"/>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Contrast</w:t>
            </w:r>
          </w:p>
        </w:tc>
        <w:tc>
          <w:tcPr>
            <w:tcW w:type="dxa" w:w="2782"/>
            <w:tcBorders>
              <w:left w:val="none" w:color="auto" w:sz="0" w:space="0"/>
              <w:bottom w:val="single" w:color="16181A" w:sz="8" w:space="0"/>
              <w:right w:val="none" w:color="auto" w:sz="0" w:space="0"/>
            </w:tcBorders>
            <w:shd w:fill="F4F4F1" w:color="auto" w:val="clear"/>
            <w:tcMar>
              <w:top w:type="dxa" w:w="36"/>
              <w:left w:type="dxa" w:w="90"/>
              <w:bottom w:type="dxa" w:w="36"/>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Use</w:t>
            </w:r>
          </w:p>
        </w:tc>
      </w:tr>
      <w:tr>
        <w:trPr>
          <w:cantSplit/>
        </w:trPr>
        <w:tc>
          <w:tcPr>
            <w:tcW w:type="dxa" w:w="1760"/>
            <w:tcMar>
              <w:top w:type="dxa" w:w="36"/>
              <w:left w:type="dxa" w:w="90"/>
              <w:bottom w:type="dxa" w:w="36"/>
              <w:right w:type="dxa" w:w="90"/>
            </w:tcMar>
            <w:vAlign w:val="center"/>
          </w:tcPr>
          <w:p>
            <w:pPr>
              <w:spacing w:after="0" w:before="0" w:line="220" w:lineRule="auto"/>
            </w:pPr>
            <w:r>
              <w:rPr>
                <w:rFonts w:ascii="Geist Mono" w:cs="Geist Mono" w:eastAsia="Geist Mono" w:hAnsi="Geist Mono"/>
                <w:b/>
                <w:bCs/>
                <w:color w:val="16181A"/>
                <w:sz w:val="15"/>
                <w:szCs w:val="15"/>
              </w:rPr>
              <w:t xml:space="preserve">--bl-bg</w:t>
            </w:r>
          </w:p>
        </w:tc>
        <w:tc>
          <w:tcPr>
            <w:tcW w:type="dxa" w:w="112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4"/>
                <w:szCs w:val="14"/>
              </w:rPr>
              <w:t xml:space="preserve">#F7F7F5</w:t>
            </w:r>
          </w:p>
        </w:tc>
        <w:tc>
          <w:tcPr>
            <w:tcW w:type="dxa" w:w="520"/>
            <w:tcBorders>
              <w:top w:val="single" w:color="C5C9CD" w:sz="4" w:space="1"/>
              <w:left w:val="single" w:color="C5C9CD" w:sz="4" w:space="1"/>
              <w:bottom w:val="single" w:color="C5C9CD" w:sz="4" w:space="1"/>
              <w:right w:val="single" w:color="C5C9CD" w:sz="4" w:space="1"/>
            </w:tcBorders>
            <w:shd w:fill="F7F7F5"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156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3"/>
                <w:szCs w:val="13"/>
              </w:rPr>
              <w:t xml:space="preserve">#07080A</w:t>
            </w:r>
          </w:p>
        </w:tc>
        <w:tc>
          <w:tcPr>
            <w:tcW w:type="dxa" w:w="520"/>
            <w:tcBorders>
              <w:top w:val="single" w:color="C5C9CD" w:sz="4" w:space="1"/>
              <w:left w:val="single" w:color="C5C9CD" w:sz="4" w:space="1"/>
              <w:bottom w:val="single" w:color="C5C9CD" w:sz="4" w:space="1"/>
              <w:right w:val="single" w:color="C5C9CD" w:sz="4" w:space="1"/>
            </w:tcBorders>
            <w:shd w:fill="07080A"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115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color w:val="53575B"/>
                <w:sz w:val="14"/>
                <w:szCs w:val="14"/>
              </w:rPr>
              <w:t xml:space="preserve">—</w:t>
            </w:r>
          </w:p>
        </w:tc>
        <w:tc>
          <w:tcPr>
            <w:tcW w:type="dxa" w:w="278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5"/>
                <w:szCs w:val="15"/>
              </w:rPr>
              <w:t xml:space="preserve">Page canvas.</w:t>
            </w:r>
          </w:p>
        </w:tc>
      </w:tr>
      <w:tr>
        <w:trPr>
          <w:cantSplit/>
        </w:trPr>
        <w:tc>
          <w:tcPr>
            <w:tcW w:type="dxa" w:w="1760"/>
            <w:tcMar>
              <w:top w:type="dxa" w:w="36"/>
              <w:left w:type="dxa" w:w="90"/>
              <w:bottom w:type="dxa" w:w="36"/>
              <w:right w:type="dxa" w:w="90"/>
            </w:tcMar>
            <w:vAlign w:val="center"/>
          </w:tcPr>
          <w:p>
            <w:pPr>
              <w:spacing w:after="0" w:before="0" w:line="220" w:lineRule="auto"/>
            </w:pPr>
            <w:r>
              <w:rPr>
                <w:rFonts w:ascii="Geist Mono" w:cs="Geist Mono" w:eastAsia="Geist Mono" w:hAnsi="Geist Mono"/>
                <w:b/>
                <w:bCs/>
                <w:color w:val="16181A"/>
                <w:sz w:val="15"/>
                <w:szCs w:val="15"/>
              </w:rPr>
              <w:t xml:space="preserve">--bl-bg-2</w:t>
            </w:r>
          </w:p>
        </w:tc>
        <w:tc>
          <w:tcPr>
            <w:tcW w:type="dxa" w:w="112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4"/>
                <w:szCs w:val="14"/>
              </w:rPr>
              <w:t xml:space="preserve">#EFEFEC</w:t>
            </w:r>
          </w:p>
        </w:tc>
        <w:tc>
          <w:tcPr>
            <w:tcW w:type="dxa" w:w="520"/>
            <w:tcBorders>
              <w:top w:val="single" w:color="C5C9CD" w:sz="4" w:space="1"/>
              <w:left w:val="single" w:color="C5C9CD" w:sz="4" w:space="1"/>
              <w:bottom w:val="single" w:color="C5C9CD" w:sz="4" w:space="1"/>
              <w:right w:val="single" w:color="C5C9CD" w:sz="4" w:space="1"/>
            </w:tcBorders>
            <w:shd w:fill="EFEFEC"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156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3"/>
                <w:szCs w:val="13"/>
              </w:rPr>
              <w:t xml:space="preserve">#0B0D10</w:t>
            </w:r>
          </w:p>
        </w:tc>
        <w:tc>
          <w:tcPr>
            <w:tcW w:type="dxa" w:w="520"/>
            <w:tcBorders>
              <w:top w:val="single" w:color="C5C9CD" w:sz="4" w:space="1"/>
              <w:left w:val="single" w:color="C5C9CD" w:sz="4" w:space="1"/>
              <w:bottom w:val="single" w:color="C5C9CD" w:sz="4" w:space="1"/>
              <w:right w:val="single" w:color="C5C9CD" w:sz="4" w:space="1"/>
            </w:tcBorders>
            <w:shd w:fill="0B0D10"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115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color w:val="53575B"/>
                <w:sz w:val="14"/>
                <w:szCs w:val="14"/>
              </w:rPr>
              <w:t xml:space="preserve">—</w:t>
            </w:r>
          </w:p>
        </w:tc>
        <w:tc>
          <w:tcPr>
            <w:tcW w:type="dxa" w:w="278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5"/>
                <w:szCs w:val="15"/>
              </w:rPr>
              <w:t xml:space="preserve">Recessed bands, sidebars.</w:t>
            </w:r>
          </w:p>
        </w:tc>
      </w:tr>
      <w:tr>
        <w:trPr>
          <w:cantSplit/>
        </w:trPr>
        <w:tc>
          <w:tcPr>
            <w:tcW w:type="dxa" w:w="1760"/>
            <w:tcMar>
              <w:top w:type="dxa" w:w="36"/>
              <w:left w:type="dxa" w:w="90"/>
              <w:bottom w:type="dxa" w:w="36"/>
              <w:right w:type="dxa" w:w="90"/>
            </w:tcMar>
            <w:vAlign w:val="center"/>
          </w:tcPr>
          <w:p>
            <w:pPr>
              <w:spacing w:after="0" w:before="0" w:line="220" w:lineRule="auto"/>
            </w:pPr>
            <w:r>
              <w:rPr>
                <w:rFonts w:ascii="Geist Mono" w:cs="Geist Mono" w:eastAsia="Geist Mono" w:hAnsi="Geist Mono"/>
                <w:b/>
                <w:bCs/>
                <w:color w:val="16181A"/>
                <w:sz w:val="15"/>
                <w:szCs w:val="15"/>
              </w:rPr>
              <w:t xml:space="preserve">--bl-surface</w:t>
            </w:r>
          </w:p>
        </w:tc>
        <w:tc>
          <w:tcPr>
            <w:tcW w:type="dxa" w:w="112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4"/>
                <w:szCs w:val="14"/>
              </w:rPr>
              <w:t xml:space="preserve">#FFFFFF</w:t>
            </w:r>
          </w:p>
        </w:tc>
        <w:tc>
          <w:tcPr>
            <w:tcW w:type="dxa" w:w="520"/>
            <w:tcBorders>
              <w:top w:val="single" w:color="C5C9CD" w:sz="4" w:space="1"/>
              <w:left w:val="single" w:color="C5C9CD" w:sz="4" w:space="1"/>
              <w:bottom w:val="single" w:color="C5C9CD" w:sz="4" w:space="1"/>
              <w:right w:val="single" w:color="C5C9CD" w:sz="4" w:space="1"/>
            </w:tcBorders>
            <w:shd w:fill="FFFFFF"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156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3"/>
                <w:szCs w:val="13"/>
              </w:rPr>
              <w:t xml:space="preserve">#121418</w:t>
            </w:r>
          </w:p>
        </w:tc>
        <w:tc>
          <w:tcPr>
            <w:tcW w:type="dxa" w:w="520"/>
            <w:tcBorders>
              <w:top w:val="single" w:color="C5C9CD" w:sz="4" w:space="1"/>
              <w:left w:val="single" w:color="C5C9CD" w:sz="4" w:space="1"/>
              <w:bottom w:val="single" w:color="C5C9CD" w:sz="4" w:space="1"/>
              <w:right w:val="single" w:color="C5C9CD" w:sz="4" w:space="1"/>
            </w:tcBorders>
            <w:shd w:fill="121418"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115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color w:val="53575B"/>
                <w:sz w:val="14"/>
                <w:szCs w:val="14"/>
              </w:rPr>
              <w:t xml:space="preserve">—</w:t>
            </w:r>
          </w:p>
        </w:tc>
        <w:tc>
          <w:tcPr>
            <w:tcW w:type="dxa" w:w="278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5"/>
                <w:szCs w:val="15"/>
              </w:rPr>
              <w:t xml:space="preserve">Cards, tables, panels, chart surface.</w:t>
            </w:r>
          </w:p>
        </w:tc>
      </w:tr>
      <w:tr>
        <w:trPr>
          <w:cantSplit/>
        </w:trPr>
        <w:tc>
          <w:tcPr>
            <w:tcW w:type="dxa" w:w="1760"/>
            <w:tcMar>
              <w:top w:type="dxa" w:w="36"/>
              <w:left w:type="dxa" w:w="90"/>
              <w:bottom w:type="dxa" w:w="36"/>
              <w:right w:type="dxa" w:w="90"/>
            </w:tcMar>
            <w:vAlign w:val="center"/>
          </w:tcPr>
          <w:p>
            <w:pPr>
              <w:spacing w:after="0" w:before="0" w:line="220" w:lineRule="auto"/>
            </w:pPr>
            <w:r>
              <w:rPr>
                <w:rFonts w:ascii="Geist Mono" w:cs="Geist Mono" w:eastAsia="Geist Mono" w:hAnsi="Geist Mono"/>
                <w:b/>
                <w:bCs/>
                <w:color w:val="16181A"/>
                <w:sz w:val="15"/>
                <w:szCs w:val="15"/>
              </w:rPr>
              <w:t xml:space="preserve">--bl-surface-2</w:t>
            </w:r>
          </w:p>
        </w:tc>
        <w:tc>
          <w:tcPr>
            <w:tcW w:type="dxa" w:w="112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4"/>
                <w:szCs w:val="14"/>
              </w:rPr>
              <w:t xml:space="preserve">#F4F4F1</w:t>
            </w:r>
          </w:p>
        </w:tc>
        <w:tc>
          <w:tcPr>
            <w:tcW w:type="dxa" w:w="520"/>
            <w:tcBorders>
              <w:top w:val="single" w:color="C5C9CD" w:sz="4" w:space="1"/>
              <w:left w:val="single" w:color="C5C9CD" w:sz="4" w:space="1"/>
              <w:bottom w:val="single" w:color="C5C9CD" w:sz="4" w:space="1"/>
              <w:right w:val="single" w:color="C5C9CD" w:sz="4" w:space="1"/>
            </w:tcBorders>
            <w:shd w:fill="F4F4F1"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156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3"/>
                <w:szCs w:val="13"/>
              </w:rPr>
              <w:t xml:space="preserve">#16191D</w:t>
            </w:r>
          </w:p>
        </w:tc>
        <w:tc>
          <w:tcPr>
            <w:tcW w:type="dxa" w:w="520"/>
            <w:tcBorders>
              <w:top w:val="single" w:color="C5C9CD" w:sz="4" w:space="1"/>
              <w:left w:val="single" w:color="C5C9CD" w:sz="4" w:space="1"/>
              <w:bottom w:val="single" w:color="C5C9CD" w:sz="4" w:space="1"/>
              <w:right w:val="single" w:color="C5C9CD" w:sz="4" w:space="1"/>
            </w:tcBorders>
            <w:shd w:fill="16191D"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115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color w:val="53575B"/>
                <w:sz w:val="14"/>
                <w:szCs w:val="14"/>
              </w:rPr>
              <w:t xml:space="preserve">—</w:t>
            </w:r>
          </w:p>
        </w:tc>
        <w:tc>
          <w:tcPr>
            <w:tcW w:type="dxa" w:w="278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5"/>
                <w:szCs w:val="15"/>
              </w:rPr>
              <w:t xml:space="preserve">Zebra rows, filled header cells.</w:t>
            </w:r>
          </w:p>
        </w:tc>
      </w:tr>
      <w:tr>
        <w:trPr>
          <w:cantSplit/>
        </w:trPr>
        <w:tc>
          <w:tcPr>
            <w:tcW w:type="dxa" w:w="1760"/>
            <w:tcMar>
              <w:top w:type="dxa" w:w="36"/>
              <w:left w:type="dxa" w:w="90"/>
              <w:bottom w:type="dxa" w:w="36"/>
              <w:right w:type="dxa" w:w="90"/>
            </w:tcMar>
            <w:vAlign w:val="center"/>
          </w:tcPr>
          <w:p>
            <w:pPr>
              <w:spacing w:after="0" w:before="0" w:line="220" w:lineRule="auto"/>
            </w:pPr>
            <w:r>
              <w:rPr>
                <w:rFonts w:ascii="Geist Mono" w:cs="Geist Mono" w:eastAsia="Geist Mono" w:hAnsi="Geist Mono"/>
                <w:b/>
                <w:bCs/>
                <w:color w:val="16181A"/>
                <w:sz w:val="15"/>
                <w:szCs w:val="15"/>
              </w:rPr>
              <w:t xml:space="preserve">--bl-ink</w:t>
            </w:r>
          </w:p>
        </w:tc>
        <w:tc>
          <w:tcPr>
            <w:tcW w:type="dxa" w:w="112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4"/>
                <w:szCs w:val="14"/>
              </w:rPr>
              <w:t xml:space="preserve">#16181A</w:t>
            </w:r>
          </w:p>
        </w:tc>
        <w:tc>
          <w:tcPr>
            <w:tcW w:type="dxa" w:w="520"/>
            <w:tcBorders>
              <w:top w:val="single" w:color="C5C9CD" w:sz="4" w:space="1"/>
              <w:left w:val="single" w:color="C5C9CD" w:sz="4" w:space="1"/>
              <w:bottom w:val="single" w:color="C5C9CD" w:sz="4" w:space="1"/>
              <w:right w:val="single" w:color="C5C9CD" w:sz="4" w:space="1"/>
            </w:tcBorders>
            <w:shd w:fill="16181A"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156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3"/>
                <w:szCs w:val="13"/>
              </w:rPr>
              <w:t xml:space="preserve">#F2F4F6</w:t>
            </w:r>
          </w:p>
        </w:tc>
        <w:tc>
          <w:tcPr>
            <w:tcW w:type="dxa" w:w="520"/>
            <w:tcBorders>
              <w:top w:val="single" w:color="C5C9CD" w:sz="4" w:space="1"/>
              <w:left w:val="single" w:color="C5C9CD" w:sz="4" w:space="1"/>
              <w:bottom w:val="single" w:color="C5C9CD" w:sz="4" w:space="1"/>
              <w:right w:val="single" w:color="C5C9CD" w:sz="4" w:space="1"/>
            </w:tcBorders>
            <w:shd w:fill="F2F4F6"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115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color w:val="53575B"/>
                <w:sz w:val="14"/>
                <w:szCs w:val="14"/>
              </w:rPr>
              <w:t xml:space="preserve">16.6 / 18.2</w:t>
            </w:r>
          </w:p>
        </w:tc>
        <w:tc>
          <w:tcPr>
            <w:tcW w:type="dxa" w:w="278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5"/>
                <w:szCs w:val="15"/>
              </w:rPr>
              <w:t xml:space="preserve">Headings and body.</w:t>
            </w:r>
          </w:p>
        </w:tc>
      </w:tr>
      <w:tr>
        <w:trPr>
          <w:cantSplit/>
        </w:trPr>
        <w:tc>
          <w:tcPr>
            <w:tcW w:type="dxa" w:w="1760"/>
            <w:tcMar>
              <w:top w:type="dxa" w:w="36"/>
              <w:left w:type="dxa" w:w="90"/>
              <w:bottom w:type="dxa" w:w="36"/>
              <w:right w:type="dxa" w:w="90"/>
            </w:tcMar>
            <w:vAlign w:val="center"/>
          </w:tcPr>
          <w:p>
            <w:pPr>
              <w:spacing w:after="0" w:before="0" w:line="220" w:lineRule="auto"/>
            </w:pPr>
            <w:r>
              <w:rPr>
                <w:rFonts w:ascii="Geist Mono" w:cs="Geist Mono" w:eastAsia="Geist Mono" w:hAnsi="Geist Mono"/>
                <w:b/>
                <w:bCs/>
                <w:color w:val="16181A"/>
                <w:sz w:val="15"/>
                <w:szCs w:val="15"/>
              </w:rPr>
              <w:t xml:space="preserve">--bl-ink-2</w:t>
            </w:r>
          </w:p>
        </w:tc>
        <w:tc>
          <w:tcPr>
            <w:tcW w:type="dxa" w:w="112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4"/>
                <w:szCs w:val="14"/>
              </w:rPr>
              <w:t xml:space="preserve">#53575B</w:t>
            </w:r>
          </w:p>
        </w:tc>
        <w:tc>
          <w:tcPr>
            <w:tcW w:type="dxa" w:w="520"/>
            <w:tcBorders>
              <w:top w:val="single" w:color="C5C9CD" w:sz="4" w:space="1"/>
              <w:left w:val="single" w:color="C5C9CD" w:sz="4" w:space="1"/>
              <w:bottom w:val="single" w:color="C5C9CD" w:sz="4" w:space="1"/>
              <w:right w:val="single" w:color="C5C9CD" w:sz="4" w:space="1"/>
            </w:tcBorders>
            <w:shd w:fill="53575B"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156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3"/>
                <w:szCs w:val="13"/>
              </w:rPr>
              <w:t xml:space="preserve">#9AA0A6</w:t>
            </w:r>
          </w:p>
        </w:tc>
        <w:tc>
          <w:tcPr>
            <w:tcW w:type="dxa" w:w="520"/>
            <w:tcBorders>
              <w:top w:val="single" w:color="C5C9CD" w:sz="4" w:space="1"/>
              <w:left w:val="single" w:color="C5C9CD" w:sz="4" w:space="1"/>
              <w:bottom w:val="single" w:color="C5C9CD" w:sz="4" w:space="1"/>
              <w:right w:val="single" w:color="C5C9CD" w:sz="4" w:space="1"/>
            </w:tcBorders>
            <w:shd w:fill="9AA0A6"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115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color w:val="53575B"/>
                <w:sz w:val="14"/>
                <w:szCs w:val="14"/>
              </w:rPr>
              <w:t xml:space="preserve">6.8 / 7.6</w:t>
            </w:r>
          </w:p>
        </w:tc>
        <w:tc>
          <w:tcPr>
            <w:tcW w:type="dxa" w:w="278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5"/>
                <w:szCs w:val="15"/>
              </w:rPr>
              <w:t xml:space="preserve">Secondary text, captions.</w:t>
            </w:r>
          </w:p>
        </w:tc>
      </w:tr>
      <w:tr>
        <w:trPr>
          <w:cantSplit/>
        </w:trPr>
        <w:tc>
          <w:tcPr>
            <w:tcW w:type="dxa" w:w="1760"/>
            <w:tcMar>
              <w:top w:type="dxa" w:w="36"/>
              <w:left w:type="dxa" w:w="90"/>
              <w:bottom w:type="dxa" w:w="36"/>
              <w:right w:type="dxa" w:w="90"/>
            </w:tcMar>
            <w:vAlign w:val="center"/>
          </w:tcPr>
          <w:p>
            <w:pPr>
              <w:spacing w:after="0" w:before="0" w:line="220" w:lineRule="auto"/>
            </w:pPr>
            <w:r>
              <w:rPr>
                <w:rFonts w:ascii="Geist Mono" w:cs="Geist Mono" w:eastAsia="Geist Mono" w:hAnsi="Geist Mono"/>
                <w:b/>
                <w:bCs/>
                <w:color w:val="16181A"/>
                <w:sz w:val="15"/>
                <w:szCs w:val="15"/>
              </w:rPr>
              <w:t xml:space="preserve">--bl-ink-3</w:t>
            </w:r>
          </w:p>
        </w:tc>
        <w:tc>
          <w:tcPr>
            <w:tcW w:type="dxa" w:w="112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4"/>
                <w:szCs w:val="14"/>
              </w:rPr>
              <w:t xml:space="preserve">#8C9095</w:t>
            </w:r>
          </w:p>
        </w:tc>
        <w:tc>
          <w:tcPr>
            <w:tcW w:type="dxa" w:w="520"/>
            <w:tcBorders>
              <w:top w:val="single" w:color="C5C9CD" w:sz="4" w:space="1"/>
              <w:left w:val="single" w:color="C5C9CD" w:sz="4" w:space="1"/>
              <w:bottom w:val="single" w:color="C5C9CD" w:sz="4" w:space="1"/>
              <w:right w:val="single" w:color="C5C9CD" w:sz="4" w:space="1"/>
            </w:tcBorders>
            <w:shd w:fill="8C9095"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156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3"/>
                <w:szCs w:val="13"/>
              </w:rPr>
              <w:t xml:space="preserve">#62676D</w:t>
            </w:r>
          </w:p>
        </w:tc>
        <w:tc>
          <w:tcPr>
            <w:tcW w:type="dxa" w:w="520"/>
            <w:tcBorders>
              <w:top w:val="single" w:color="C5C9CD" w:sz="4" w:space="1"/>
              <w:left w:val="single" w:color="C5C9CD" w:sz="4" w:space="1"/>
              <w:bottom w:val="single" w:color="C5C9CD" w:sz="4" w:space="1"/>
              <w:right w:val="single" w:color="C5C9CD" w:sz="4" w:space="1"/>
            </w:tcBorders>
            <w:shd w:fill="62676D"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115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color w:val="53575B"/>
                <w:sz w:val="14"/>
                <w:szCs w:val="14"/>
              </w:rPr>
              <w:t xml:space="preserve">3.0 / 3.5</w:t>
            </w:r>
          </w:p>
        </w:tc>
        <w:tc>
          <w:tcPr>
            <w:tcW w:type="dxa" w:w="278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5"/>
                <w:szCs w:val="15"/>
              </w:rPr>
              <w:t xml:space="preserve">Hints, disabled, axis labels. Never body text.</w:t>
            </w:r>
          </w:p>
        </w:tc>
      </w:tr>
      <w:tr>
        <w:trPr>
          <w:cantSplit/>
        </w:trPr>
        <w:tc>
          <w:tcPr>
            <w:tcW w:type="dxa" w:w="1760"/>
            <w:tcMar>
              <w:top w:type="dxa" w:w="36"/>
              <w:left w:type="dxa" w:w="90"/>
              <w:bottom w:type="dxa" w:w="36"/>
              <w:right w:type="dxa" w:w="90"/>
            </w:tcMar>
            <w:vAlign w:val="center"/>
          </w:tcPr>
          <w:p>
            <w:pPr>
              <w:spacing w:after="0" w:before="0" w:line="220" w:lineRule="auto"/>
            </w:pPr>
            <w:r>
              <w:rPr>
                <w:rFonts w:ascii="Geist Mono" w:cs="Geist Mono" w:eastAsia="Geist Mono" w:hAnsi="Geist Mono"/>
                <w:b/>
                <w:bCs/>
                <w:color w:val="16181A"/>
                <w:sz w:val="15"/>
                <w:szCs w:val="15"/>
              </w:rPr>
              <w:t xml:space="preserve">--bl-line</w:t>
            </w:r>
          </w:p>
        </w:tc>
        <w:tc>
          <w:tcPr>
            <w:tcW w:type="dxa" w:w="112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4"/>
                <w:szCs w:val="14"/>
              </w:rPr>
              <w:t xml:space="preserve">#E2E3E0</w:t>
            </w:r>
          </w:p>
        </w:tc>
        <w:tc>
          <w:tcPr>
            <w:tcW w:type="dxa" w:w="520"/>
            <w:tcBorders>
              <w:top w:val="single" w:color="C5C9CD" w:sz="4" w:space="1"/>
              <w:left w:val="single" w:color="C5C9CD" w:sz="4" w:space="1"/>
              <w:bottom w:val="single" w:color="C5C9CD" w:sz="4" w:space="1"/>
              <w:right w:val="single" w:color="C5C9CD" w:sz="4" w:space="1"/>
            </w:tcBorders>
            <w:shd w:fill="E2E3E0"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156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3"/>
                <w:szCs w:val="13"/>
              </w:rPr>
              <w:t xml:space="preserve">rgba(255, 255, 255, 0.08)</w:t>
            </w:r>
          </w:p>
        </w:tc>
        <w:tc>
          <w:tcPr>
            <w:tcW w:type="dxa" w:w="520"/>
            <w:tcBorders>
              <w:top w:val="single" w:color="C5C9CD" w:sz="4" w:space="1"/>
              <w:left w:val="single" w:color="C5C9CD" w:sz="4" w:space="1"/>
              <w:bottom w:val="single" w:color="C5C9CD" w:sz="4" w:space="1"/>
              <w:right w:val="single" w:color="C5C9CD" w:sz="4" w:space="1"/>
            </w:tcBorders>
            <w:shd w:fill="25272A"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115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color w:val="53575B"/>
                <w:sz w:val="14"/>
                <w:szCs w:val="14"/>
              </w:rPr>
              <w:t xml:space="preserve">—</w:t>
            </w:r>
          </w:p>
        </w:tc>
        <w:tc>
          <w:tcPr>
            <w:tcW w:type="dxa" w:w="278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5"/>
                <w:szCs w:val="15"/>
              </w:rPr>
              <w:t xml:space="preserve">Hairlines. 1 px, always.</w:t>
            </w:r>
          </w:p>
        </w:tc>
      </w:tr>
      <w:tr>
        <w:trPr>
          <w:cantSplit/>
        </w:trPr>
        <w:tc>
          <w:tcPr>
            <w:tcW w:type="dxa" w:w="1760"/>
            <w:tcMar>
              <w:top w:type="dxa" w:w="36"/>
              <w:left w:type="dxa" w:w="90"/>
              <w:bottom w:type="dxa" w:w="36"/>
              <w:right w:type="dxa" w:w="90"/>
            </w:tcMar>
            <w:vAlign w:val="center"/>
          </w:tcPr>
          <w:p>
            <w:pPr>
              <w:spacing w:after="0" w:before="0" w:line="220" w:lineRule="auto"/>
            </w:pPr>
            <w:r>
              <w:rPr>
                <w:rFonts w:ascii="Geist Mono" w:cs="Geist Mono" w:eastAsia="Geist Mono" w:hAnsi="Geist Mono"/>
                <w:b/>
                <w:bCs/>
                <w:color w:val="16181A"/>
                <w:sz w:val="15"/>
                <w:szCs w:val="15"/>
              </w:rPr>
              <w:t xml:space="preserve">--bl-line-2</w:t>
            </w:r>
          </w:p>
        </w:tc>
        <w:tc>
          <w:tcPr>
            <w:tcW w:type="dxa" w:w="112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4"/>
                <w:szCs w:val="14"/>
              </w:rPr>
              <w:t xml:space="preserve">#C5C9CD</w:t>
            </w:r>
          </w:p>
        </w:tc>
        <w:tc>
          <w:tcPr>
            <w:tcW w:type="dxa" w:w="520"/>
            <w:tcBorders>
              <w:top w:val="single" w:color="C5C9CD" w:sz="4" w:space="1"/>
              <w:left w:val="single" w:color="C5C9CD" w:sz="4" w:space="1"/>
              <w:bottom w:val="single" w:color="C5C9CD" w:sz="4" w:space="1"/>
              <w:right w:val="single" w:color="C5C9CD" w:sz="4" w:space="1"/>
            </w:tcBorders>
            <w:shd w:fill="C5C9CD"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156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3"/>
                <w:szCs w:val="13"/>
              </w:rPr>
              <w:t xml:space="preserve">rgba(255, 255, 255, 0.16)</w:t>
            </w:r>
          </w:p>
        </w:tc>
        <w:tc>
          <w:tcPr>
            <w:tcW w:type="dxa" w:w="520"/>
            <w:tcBorders>
              <w:top w:val="single" w:color="C5C9CD" w:sz="4" w:space="1"/>
              <w:left w:val="single" w:color="C5C9CD" w:sz="4" w:space="1"/>
              <w:bottom w:val="single" w:color="C5C9CD" w:sz="4" w:space="1"/>
              <w:right w:val="single" w:color="C5C9CD" w:sz="4" w:space="1"/>
            </w:tcBorders>
            <w:shd w:fill="383A3D"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115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color w:val="53575B"/>
                <w:sz w:val="14"/>
                <w:szCs w:val="14"/>
              </w:rPr>
              <w:t xml:space="preserve">—</w:t>
            </w:r>
          </w:p>
        </w:tc>
        <w:tc>
          <w:tcPr>
            <w:tcW w:type="dxa" w:w="278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5"/>
                <w:szCs w:val="15"/>
              </w:rPr>
              <w:t xml:space="preserve">Stronger dividers, input borders.</w:t>
            </w:r>
          </w:p>
        </w:tc>
      </w:tr>
      <w:tr>
        <w:trPr>
          <w:cantSplit/>
        </w:trPr>
        <w:tc>
          <w:tcPr>
            <w:tcW w:type="dxa" w:w="1760"/>
            <w:tcMar>
              <w:top w:type="dxa" w:w="36"/>
              <w:left w:type="dxa" w:w="90"/>
              <w:bottom w:type="dxa" w:w="36"/>
              <w:right w:type="dxa" w:w="90"/>
            </w:tcMar>
            <w:vAlign w:val="center"/>
          </w:tcPr>
          <w:p>
            <w:pPr>
              <w:spacing w:after="0" w:before="0" w:line="220" w:lineRule="auto"/>
            </w:pPr>
            <w:r>
              <w:rPr>
                <w:rFonts w:ascii="Geist Mono" w:cs="Geist Mono" w:eastAsia="Geist Mono" w:hAnsi="Geist Mono"/>
                <w:b/>
                <w:bCs/>
                <w:color w:val="16181A"/>
                <w:sz w:val="15"/>
                <w:szCs w:val="15"/>
              </w:rPr>
              <w:t xml:space="preserve">--bl-accent</w:t>
            </w:r>
          </w:p>
        </w:tc>
        <w:tc>
          <w:tcPr>
            <w:tcW w:type="dxa" w:w="112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4"/>
                <w:szCs w:val="14"/>
              </w:rPr>
              <w:t xml:space="preserve">#8E2222</w:t>
            </w:r>
          </w:p>
        </w:tc>
        <w:tc>
          <w:tcPr>
            <w:tcW w:type="dxa" w:w="520"/>
            <w:tcBorders>
              <w:top w:val="single" w:color="C5C9CD" w:sz="4" w:space="1"/>
              <w:left w:val="single" w:color="C5C9CD" w:sz="4" w:space="1"/>
              <w:bottom w:val="single" w:color="C5C9CD" w:sz="4" w:space="1"/>
              <w:right w:val="single" w:color="C5C9CD" w:sz="4" w:space="1"/>
            </w:tcBorders>
            <w:shd w:fill="8E2222"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156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3"/>
                <w:szCs w:val="13"/>
              </w:rPr>
              <w:t xml:space="preserve">#D8574D</w:t>
            </w:r>
          </w:p>
        </w:tc>
        <w:tc>
          <w:tcPr>
            <w:tcW w:type="dxa" w:w="520"/>
            <w:tcBorders>
              <w:top w:val="single" w:color="C5C9CD" w:sz="4" w:space="1"/>
              <w:left w:val="single" w:color="C5C9CD" w:sz="4" w:space="1"/>
              <w:bottom w:val="single" w:color="C5C9CD" w:sz="4" w:space="1"/>
              <w:right w:val="single" w:color="C5C9CD" w:sz="4" w:space="1"/>
            </w:tcBorders>
            <w:shd w:fill="D8574D"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115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color w:val="53575B"/>
                <w:sz w:val="14"/>
                <w:szCs w:val="14"/>
              </w:rPr>
              <w:t xml:space="preserve">8.2 / 5.1</w:t>
            </w:r>
          </w:p>
        </w:tc>
        <w:tc>
          <w:tcPr>
            <w:tcW w:type="dxa" w:w="278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5"/>
                <w:szCs w:val="15"/>
              </w:rPr>
              <w:t xml:space="preserve">Primary action, brand emphasis.</w:t>
            </w:r>
          </w:p>
        </w:tc>
      </w:tr>
      <w:tr>
        <w:trPr>
          <w:cantSplit/>
        </w:trPr>
        <w:tc>
          <w:tcPr>
            <w:tcW w:type="dxa" w:w="1760"/>
            <w:tcMar>
              <w:top w:type="dxa" w:w="36"/>
              <w:left w:type="dxa" w:w="90"/>
              <w:bottom w:type="dxa" w:w="36"/>
              <w:right w:type="dxa" w:w="90"/>
            </w:tcMar>
            <w:vAlign w:val="center"/>
          </w:tcPr>
          <w:p>
            <w:pPr>
              <w:spacing w:after="0" w:before="0" w:line="220" w:lineRule="auto"/>
            </w:pPr>
            <w:r>
              <w:rPr>
                <w:rFonts w:ascii="Geist Mono" w:cs="Geist Mono" w:eastAsia="Geist Mono" w:hAnsi="Geist Mono"/>
                <w:b/>
                <w:bCs/>
                <w:color w:val="16181A"/>
                <w:sz w:val="15"/>
                <w:szCs w:val="15"/>
              </w:rPr>
              <w:t xml:space="preserve">--bl-accent-hover</w:t>
            </w:r>
          </w:p>
        </w:tc>
        <w:tc>
          <w:tcPr>
            <w:tcW w:type="dxa" w:w="112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4"/>
                <w:szCs w:val="14"/>
              </w:rPr>
              <w:t xml:space="preserve">#6B1112</w:t>
            </w:r>
          </w:p>
        </w:tc>
        <w:tc>
          <w:tcPr>
            <w:tcW w:type="dxa" w:w="520"/>
            <w:tcBorders>
              <w:top w:val="single" w:color="C5C9CD" w:sz="4" w:space="1"/>
              <w:left w:val="single" w:color="C5C9CD" w:sz="4" w:space="1"/>
              <w:bottom w:val="single" w:color="C5C9CD" w:sz="4" w:space="1"/>
              <w:right w:val="single" w:color="C5C9CD" w:sz="4" w:space="1"/>
            </w:tcBorders>
            <w:shd w:fill="6B1112"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156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3"/>
                <w:szCs w:val="13"/>
              </w:rPr>
              <w:t xml:space="preserve">#F77469</w:t>
            </w:r>
          </w:p>
        </w:tc>
        <w:tc>
          <w:tcPr>
            <w:tcW w:type="dxa" w:w="520"/>
            <w:tcBorders>
              <w:top w:val="single" w:color="C5C9CD" w:sz="4" w:space="1"/>
              <w:left w:val="single" w:color="C5C9CD" w:sz="4" w:space="1"/>
              <w:bottom w:val="single" w:color="C5C9CD" w:sz="4" w:space="1"/>
              <w:right w:val="single" w:color="C5C9CD" w:sz="4" w:space="1"/>
            </w:tcBorders>
            <w:shd w:fill="F77469"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115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color w:val="53575B"/>
                <w:sz w:val="14"/>
                <w:szCs w:val="14"/>
              </w:rPr>
              <w:t xml:space="preserve">11.4 / 7.3</w:t>
            </w:r>
          </w:p>
        </w:tc>
        <w:tc>
          <w:tcPr>
            <w:tcW w:type="dxa" w:w="278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5"/>
                <w:szCs w:val="15"/>
              </w:rPr>
              <w:t xml:space="preserve">Pressed and deep fills.</w:t>
            </w:r>
          </w:p>
        </w:tc>
      </w:tr>
      <w:tr>
        <w:trPr>
          <w:cantSplit/>
        </w:trPr>
        <w:tc>
          <w:tcPr>
            <w:tcW w:type="dxa" w:w="1760"/>
            <w:tcMar>
              <w:top w:type="dxa" w:w="36"/>
              <w:left w:type="dxa" w:w="90"/>
              <w:bottom w:type="dxa" w:w="36"/>
              <w:right w:type="dxa" w:w="90"/>
            </w:tcMar>
            <w:vAlign w:val="center"/>
          </w:tcPr>
          <w:p>
            <w:pPr>
              <w:spacing w:after="0" w:before="0" w:line="220" w:lineRule="auto"/>
            </w:pPr>
            <w:r>
              <w:rPr>
                <w:rFonts w:ascii="Geist Mono" w:cs="Geist Mono" w:eastAsia="Geist Mono" w:hAnsi="Geist Mono"/>
                <w:b/>
                <w:bCs/>
                <w:color w:val="16181A"/>
                <w:sz w:val="15"/>
                <w:szCs w:val="15"/>
              </w:rPr>
              <w:t xml:space="preserve">--bl-accent-soft</w:t>
            </w:r>
          </w:p>
        </w:tc>
        <w:tc>
          <w:tcPr>
            <w:tcW w:type="dxa" w:w="112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4"/>
                <w:szCs w:val="14"/>
              </w:rPr>
              <w:t xml:space="preserve">#FFEDE9</w:t>
            </w:r>
          </w:p>
        </w:tc>
        <w:tc>
          <w:tcPr>
            <w:tcW w:type="dxa" w:w="520"/>
            <w:tcBorders>
              <w:top w:val="single" w:color="C5C9CD" w:sz="4" w:space="1"/>
              <w:left w:val="single" w:color="C5C9CD" w:sz="4" w:space="1"/>
              <w:bottom w:val="single" w:color="C5C9CD" w:sz="4" w:space="1"/>
              <w:right w:val="single" w:color="C5C9CD" w:sz="4" w:space="1"/>
            </w:tcBorders>
            <w:shd w:fill="FFEDE9"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156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3"/>
                <w:szCs w:val="13"/>
              </w:rPr>
              <w:t xml:space="preserve">rgba(216, 87, 77, 0.14)</w:t>
            </w:r>
          </w:p>
        </w:tc>
        <w:tc>
          <w:tcPr>
            <w:tcW w:type="dxa" w:w="520"/>
            <w:tcBorders>
              <w:top w:val="single" w:color="C5C9CD" w:sz="4" w:space="1"/>
              <w:left w:val="single" w:color="C5C9CD" w:sz="4" w:space="1"/>
              <w:bottom w:val="single" w:color="C5C9CD" w:sz="4" w:space="1"/>
              <w:right w:val="single" w:color="C5C9CD" w:sz="4" w:space="1"/>
            </w:tcBorders>
            <w:shd w:fill="2E1D1F"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115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color w:val="53575B"/>
                <w:sz w:val="14"/>
                <w:szCs w:val="14"/>
              </w:rPr>
              <w:t xml:space="preserve">—</w:t>
            </w:r>
          </w:p>
        </w:tc>
        <w:tc>
          <w:tcPr>
            <w:tcW w:type="dxa" w:w="278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5"/>
                <w:szCs w:val="15"/>
              </w:rPr>
              <w:t xml:space="preserve">Tinted callout backgrounds.</w:t>
            </w:r>
          </w:p>
        </w:tc>
      </w:tr>
      <w:tr>
        <w:trPr>
          <w:cantSplit/>
        </w:trPr>
        <w:tc>
          <w:tcPr>
            <w:tcW w:type="dxa" w:w="1760"/>
            <w:tcMar>
              <w:top w:type="dxa" w:w="36"/>
              <w:left w:type="dxa" w:w="90"/>
              <w:bottom w:type="dxa" w:w="36"/>
              <w:right w:type="dxa" w:w="90"/>
            </w:tcMar>
            <w:vAlign w:val="center"/>
          </w:tcPr>
          <w:p>
            <w:pPr>
              <w:spacing w:after="0" w:before="0" w:line="220" w:lineRule="auto"/>
            </w:pPr>
            <w:r>
              <w:rPr>
                <w:rFonts w:ascii="Geist Mono" w:cs="Geist Mono" w:eastAsia="Geist Mono" w:hAnsi="Geist Mono"/>
                <w:b/>
                <w:bCs/>
                <w:color w:val="16181A"/>
                <w:sz w:val="15"/>
                <w:szCs w:val="15"/>
              </w:rPr>
              <w:t xml:space="preserve">--bl-on-accent</w:t>
            </w:r>
          </w:p>
        </w:tc>
        <w:tc>
          <w:tcPr>
            <w:tcW w:type="dxa" w:w="112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4"/>
                <w:szCs w:val="14"/>
              </w:rPr>
              <w:t xml:space="preserve">#FFFFFF</w:t>
            </w:r>
          </w:p>
        </w:tc>
        <w:tc>
          <w:tcPr>
            <w:tcW w:type="dxa" w:w="520"/>
            <w:tcBorders>
              <w:top w:val="single" w:color="C5C9CD" w:sz="4" w:space="1"/>
              <w:left w:val="single" w:color="C5C9CD" w:sz="4" w:space="1"/>
              <w:bottom w:val="single" w:color="C5C9CD" w:sz="4" w:space="1"/>
              <w:right w:val="single" w:color="C5C9CD" w:sz="4" w:space="1"/>
            </w:tcBorders>
            <w:shd w:fill="FFFFFF"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156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3"/>
                <w:szCs w:val="13"/>
              </w:rPr>
              <w:t xml:space="preserve">#0A0B0D</w:t>
            </w:r>
          </w:p>
        </w:tc>
        <w:tc>
          <w:tcPr>
            <w:tcW w:type="dxa" w:w="520"/>
            <w:tcBorders>
              <w:top w:val="single" w:color="C5C9CD" w:sz="4" w:space="1"/>
              <w:left w:val="single" w:color="C5C9CD" w:sz="4" w:space="1"/>
              <w:bottom w:val="single" w:color="C5C9CD" w:sz="4" w:space="1"/>
              <w:right w:val="single" w:color="C5C9CD" w:sz="4" w:space="1"/>
            </w:tcBorders>
            <w:shd w:fill="0A0B0D"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115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color w:val="53575B"/>
                <w:sz w:val="14"/>
                <w:szCs w:val="14"/>
              </w:rPr>
              <w:t xml:space="preserve">—</w:t>
            </w:r>
          </w:p>
        </w:tc>
        <w:tc>
          <w:tcPr>
            <w:tcW w:type="dxa" w:w="278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5"/>
                <w:szCs w:val="15"/>
              </w:rPr>
              <w:t xml:space="preserve">Text on an accent fill.</w:t>
            </w:r>
          </w:p>
        </w:tc>
      </w:tr>
      <w:tr>
        <w:trPr>
          <w:cantSplit/>
        </w:trPr>
        <w:tc>
          <w:tcPr>
            <w:tcW w:type="dxa" w:w="1760"/>
            <w:tcMar>
              <w:top w:type="dxa" w:w="36"/>
              <w:left w:type="dxa" w:w="90"/>
              <w:bottom w:type="dxa" w:w="36"/>
              <w:right w:type="dxa" w:w="90"/>
            </w:tcMar>
            <w:vAlign w:val="center"/>
          </w:tcPr>
          <w:p>
            <w:pPr>
              <w:spacing w:after="0" w:before="0" w:line="220" w:lineRule="auto"/>
            </w:pPr>
            <w:r>
              <w:rPr>
                <w:rFonts w:ascii="Geist Mono" w:cs="Geist Mono" w:eastAsia="Geist Mono" w:hAnsi="Geist Mono"/>
                <w:b/>
                <w:bCs/>
                <w:color w:val="16181A"/>
                <w:sz w:val="15"/>
                <w:szCs w:val="15"/>
              </w:rPr>
              <w:t xml:space="preserve">--bl-focus</w:t>
            </w:r>
          </w:p>
        </w:tc>
        <w:tc>
          <w:tcPr>
            <w:tcW w:type="dxa" w:w="112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4"/>
                <w:szCs w:val="14"/>
              </w:rPr>
              <w:t xml:space="preserve">#286CBE</w:t>
            </w:r>
          </w:p>
        </w:tc>
        <w:tc>
          <w:tcPr>
            <w:tcW w:type="dxa" w:w="520"/>
            <w:tcBorders>
              <w:top w:val="single" w:color="C5C9CD" w:sz="4" w:space="1"/>
              <w:left w:val="single" w:color="C5C9CD" w:sz="4" w:space="1"/>
              <w:bottom w:val="single" w:color="C5C9CD" w:sz="4" w:space="1"/>
              <w:right w:val="single" w:color="C5C9CD" w:sz="4" w:space="1"/>
            </w:tcBorders>
            <w:shd w:fill="286CBE"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1560"/>
            <w:tcMar>
              <w:top w:type="dxa" w:w="36"/>
              <w:left w:type="dxa" w:w="90"/>
              <w:bottom w:type="dxa" w:w="36"/>
              <w:right w:type="dxa" w:w="90"/>
            </w:tcMar>
            <w:vAlign w:val="center"/>
          </w:tcPr>
          <w:p>
            <w:pPr>
              <w:spacing w:after="0" w:before="0" w:line="220" w:lineRule="auto"/>
            </w:pPr>
            <w:r>
              <w:rPr>
                <w:rFonts w:ascii="Geist Mono" w:cs="Geist Mono" w:eastAsia="Geist Mono" w:hAnsi="Geist Mono"/>
                <w:color w:val="16181A"/>
                <w:sz w:val="13"/>
                <w:szCs w:val="13"/>
              </w:rPr>
              <w:t xml:space="preserve">#5FA4FC</w:t>
            </w:r>
          </w:p>
        </w:tc>
        <w:tc>
          <w:tcPr>
            <w:tcW w:type="dxa" w:w="520"/>
            <w:tcBorders>
              <w:top w:val="single" w:color="C5C9CD" w:sz="4" w:space="1"/>
              <w:left w:val="single" w:color="C5C9CD" w:sz="4" w:space="1"/>
              <w:bottom w:val="single" w:color="C5C9CD" w:sz="4" w:space="1"/>
              <w:right w:val="single" w:color="C5C9CD" w:sz="4" w:space="1"/>
            </w:tcBorders>
            <w:shd w:fill="5FA4FC" w:color="auto" w:val="clear"/>
            <w:tcMar>
              <w:top w:type="dxa" w:w="24"/>
              <w:left w:type="dxa" w:w="40"/>
              <w:bottom w:type="dxa" w:w="24"/>
              <w:right w:type="dxa" w:w="40"/>
            </w:tcMar>
            <w:vAlign w:val="center"/>
          </w:tcPr>
          <w:p>
            <w:pPr>
              <w:spacing w:after="0" w:before="0" w:line="150" w:lineRule="exact"/>
            </w:pPr>
            <w:r>
              <w:rPr>
                <w:rFonts w:ascii="Plus Jakarta Sans" w:cs="Plus Jakarta Sans" w:eastAsia="Plus Jakarta Sans" w:hAnsi="Plus Jakarta Sans"/>
                <w:color w:val="16181A"/>
                <w:sz w:val="12"/>
                <w:szCs w:val="12"/>
              </w:rPr>
              <w:t xml:space="preserve"/>
            </w:r>
          </w:p>
        </w:tc>
        <w:tc>
          <w:tcPr>
            <w:tcW w:type="dxa" w:w="1150"/>
            <w:tcMar>
              <w:top w:type="dxa" w:w="36"/>
              <w:left w:type="dxa" w:w="90"/>
              <w:bottom w:type="dxa" w:w="36"/>
              <w:right w:type="dxa" w:w="90"/>
            </w:tcMar>
            <w:vAlign w:val="center"/>
          </w:tcPr>
          <w:p>
            <w:pPr>
              <w:spacing w:after="0" w:before="0" w:line="220" w:lineRule="auto"/>
              <w:jc w:val="right"/>
            </w:pPr>
            <w:r>
              <w:rPr>
                <w:rFonts w:ascii="Geist Mono" w:cs="Geist Mono" w:eastAsia="Geist Mono" w:hAnsi="Geist Mono"/>
                <w:color w:val="53575B"/>
                <w:sz w:val="14"/>
                <w:szCs w:val="14"/>
              </w:rPr>
              <w:t xml:space="preserve">4.9 / 7.8</w:t>
            </w:r>
          </w:p>
        </w:tc>
        <w:tc>
          <w:tcPr>
            <w:tcW w:type="dxa" w:w="2782"/>
            <w:tcMar>
              <w:top w:type="dxa" w:w="36"/>
              <w:left w:type="dxa" w:w="90"/>
              <w:bottom w:type="dxa" w:w="36"/>
              <w:right w:type="dxa" w:w="90"/>
            </w:tcMar>
            <w:vAlign w:val="center"/>
          </w:tcPr>
          <w:p>
            <w:pPr>
              <w:spacing w:after="0" w:before="0" w:line="220" w:lineRule="auto"/>
            </w:pPr>
            <w:r>
              <w:rPr>
                <w:rFonts w:ascii="Plus Jakarta Sans" w:cs="Plus Jakarta Sans" w:eastAsia="Plus Jakarta Sans" w:hAnsi="Plus Jakarta Sans"/>
                <w:color w:val="53575B"/>
                <w:sz w:val="15"/>
                <w:szCs w:val="15"/>
              </w:rPr>
              <w:t xml:space="preserve">Focus ring. Deliberately not red, so it never reads as an error.</w:t>
            </w:r>
          </w:p>
        </w:tc>
      </w:tr>
    </w:tbl>
    <w:p>
      <w:pPr>
        <w:spacing w:after="240" w:before="60" w:line="260" w:lineRule="auto"/>
      </w:pPr>
      <w:r>
        <w:rPr>
          <w:rFonts w:ascii="Plus Jakarta Sans" w:cs="Plus Jakarta Sans" w:eastAsia="Plus Jakarta Sans" w:hAnsi="Plus Jakarta Sans"/>
          <w:color w:val="53575B"/>
          <w:sz w:val="15"/>
          <w:szCs w:val="15"/>
        </w:rPr>
        <w:t xml:space="preserve">The two dark values written as rgba() are alpha layers; the chip beside them shows the result composited over --bl-surface dark (#121418).</w:t>
      </w:r>
    </w:p>
    <w:p>
      <w:pPr>
        <w:pStyle w:val="Heading2"/>
        <w:keepNext/>
        <w:keepLines/>
        <w:spacing w:after="100" w:before="300" w:line="280" w:lineRule="auto"/>
      </w:pPr>
      <w:bookmarkStart w:name="_Toc9000018" w:id="18"/>
      <w:r>
        <w:rPr>
          <w:rFonts w:ascii="Plus Jakarta Sans SemiBold" w:cs="Plus Jakarta Sans SemiBold" w:eastAsia="Plus Jakarta Sans SemiBold" w:hAnsi="Plus Jakarta Sans SemiBold"/>
          <w:color w:val="16181A"/>
          <w:spacing w:val="-6"/>
          <w:sz w:val="25"/>
          <w:szCs w:val="25"/>
        </w:rPr>
        <w:t xml:space="preserve">Status</w:t>
      </w:r>
      <w:bookmarkEnd w:id="18"/>
    </w:p>
    <w:p>
      <w:pPr>
        <w:spacing w:after="160" w:before="0" w:line="300" w:lineRule="auto"/>
      </w:pPr>
      <w:r>
        <w:rPr>
          <w:rFonts w:ascii="Plus Jakarta Sans" w:cs="Plus Jakarta Sans" w:eastAsia="Plus Jakarta Sans" w:hAnsi="Plus Jakarta Sans"/>
          <w:color w:val="53575B"/>
          <w:sz w:val="18"/>
          <w:szCs w:val="18"/>
        </w:rPr>
        <w:t xml:space="preserve">Status colour never travels alone — it carries the German word, and usually a dot. A red row means nothing to a colour-blind Bauleiter without </w:t>
      </w:r>
      <w:r>
        <w:rPr>
          <w:rFonts w:ascii="Plus Jakarta Sans SemiBold" w:cs="Plus Jakarta Sans SemiBold" w:eastAsia="Plus Jakarta Sans SemiBold" w:hAnsi="Plus Jakarta Sans SemiBold"/>
          <w:color w:val="16181A"/>
          <w:sz w:val="18"/>
          <w:szCs w:val="18"/>
        </w:rPr>
        <w:t xml:space="preserve">Überfällig</w:t>
      </w:r>
      <w:r>
        <w:rPr>
          <w:rFonts w:ascii="Plus Jakarta Sans" w:cs="Plus Jakarta Sans" w:eastAsia="Plus Jakarta Sans" w:hAnsi="Plus Jakarta Sans"/>
          <w:color w:val="53575B"/>
          <w:sz w:val="18"/>
          <w:szCs w:val="18"/>
        </w:rPr>
        <w:t xml:space="preserve"> beside it.</w:t>
      </w:r>
    </w:p>
    <w:tbl>
      <w:tblPr>
        <w:tblW w:type="dxa" w:w="9412"/>
        <w:tblBorders>
          <w:top w:val="single" w:color="E2E3E0" w:sz="6" w:space="1"/>
          <w:left w:val="none" w:color="auto" w:sz="0" w:space="0"/>
          <w:bottom w:val="single" w:color="E2E3E0" w:sz="6" w:space="1"/>
          <w:right w:val="none" w:color="auto" w:sz="0" w:space="0"/>
          <w:insideH w:val="single" w:color="E2E3E0" w:sz="4" w:space="1"/>
          <w:insideV w:val="none" w:color="auto" w:sz="0" w:space="0"/>
        </w:tblBorders>
        <w:tblLayout w:type="fixed"/>
      </w:tblPr>
      <w:tblGrid>
        <w:gridCol w:w="1500"/>
        <w:gridCol w:w="1400"/>
        <w:gridCol w:w="620"/>
        <w:gridCol w:w="1400"/>
        <w:gridCol w:w="620"/>
        <w:gridCol w:w="3872"/>
      </w:tblGrid>
      <w:tr>
        <w:trPr>
          <w:cantSplit/>
          <w:tblHeader/>
        </w:trPr>
        <w:tc>
          <w:tcPr>
            <w:tcW w:type="dxa" w:w="150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Status</w:t>
            </w:r>
          </w:p>
        </w:tc>
        <w:tc>
          <w:tcPr>
            <w:tcW w:type="dxa" w:w="140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Light</w:t>
            </w:r>
          </w:p>
        </w:tc>
        <w:tc>
          <w:tcPr>
            <w:tcW w:type="dxa" w:w="62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
            </w:r>
          </w:p>
        </w:tc>
        <w:tc>
          <w:tcPr>
            <w:tcW w:type="dxa" w:w="140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Dark</w:t>
            </w:r>
          </w:p>
        </w:tc>
        <w:tc>
          <w:tcPr>
            <w:tcW w:type="dxa" w:w="62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
            </w:r>
          </w:p>
        </w:tc>
        <w:tc>
          <w:tcPr>
            <w:tcW w:type="dxa" w:w="3872"/>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Reads as</w:t>
            </w:r>
          </w:p>
        </w:tc>
      </w:tr>
      <w:tr>
        <w:trPr>
          <w:cantSplit/>
        </w:trPr>
        <w:tc>
          <w:tcPr>
            <w:tcW w:type="dxa" w:w="1500"/>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7"/>
                <w:szCs w:val="17"/>
              </w:rPr>
              <w:t xml:space="preserve">Erfolg</w:t>
            </w:r>
          </w:p>
        </w:tc>
        <w:tc>
          <w:tcPr>
            <w:tcW w:type="dxa" w:w="14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#00633B</w:t>
            </w:r>
          </w:p>
        </w:tc>
        <w:tc>
          <w:tcPr>
            <w:tcW w:type="dxa" w:w="620"/>
            <w:tcBorders>
              <w:top w:val="single" w:color="C5C9CD" w:sz="4" w:space="1"/>
              <w:left w:val="single" w:color="C5C9CD" w:sz="4" w:space="1"/>
              <w:bottom w:val="single" w:color="C5C9CD" w:sz="4" w:space="1"/>
              <w:right w:val="single" w:color="C5C9CD" w:sz="4" w:space="1"/>
            </w:tcBorders>
            <w:shd w:fill="00633B" w:color="auto" w:val="clear"/>
            <w:tcMar>
              <w:top w:type="dxa" w:w="24"/>
              <w:left w:type="dxa" w:w="40"/>
              <w:bottom w:type="dxa" w:w="24"/>
              <w:right w:type="dxa" w:w="40"/>
            </w:tcMar>
            <w:vAlign w:val="center"/>
          </w:tcPr>
          <w:p>
            <w:pPr>
              <w:spacing w:after="0" w:before="0" w:line="190" w:lineRule="exact"/>
            </w:pPr>
            <w:r>
              <w:rPr>
                <w:rFonts w:ascii="Plus Jakarta Sans" w:cs="Plus Jakarta Sans" w:eastAsia="Plus Jakarta Sans" w:hAnsi="Plus Jakarta Sans"/>
                <w:color w:val="16181A"/>
                <w:sz w:val="12"/>
                <w:szCs w:val="12"/>
              </w:rPr>
              <w:t xml:space="preserve"/>
            </w:r>
          </w:p>
        </w:tc>
        <w:tc>
          <w:tcPr>
            <w:tcW w:type="dxa" w:w="14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#41BB88</w:t>
            </w:r>
          </w:p>
        </w:tc>
        <w:tc>
          <w:tcPr>
            <w:tcW w:type="dxa" w:w="620"/>
            <w:tcBorders>
              <w:top w:val="single" w:color="C5C9CD" w:sz="4" w:space="1"/>
              <w:left w:val="single" w:color="C5C9CD" w:sz="4" w:space="1"/>
              <w:bottom w:val="single" w:color="C5C9CD" w:sz="4" w:space="1"/>
              <w:right w:val="single" w:color="C5C9CD" w:sz="4" w:space="1"/>
            </w:tcBorders>
            <w:shd w:fill="41BB88" w:color="auto" w:val="clear"/>
            <w:tcMar>
              <w:top w:type="dxa" w:w="24"/>
              <w:left w:type="dxa" w:w="40"/>
              <w:bottom w:type="dxa" w:w="24"/>
              <w:right w:type="dxa" w:w="40"/>
            </w:tcMar>
            <w:vAlign w:val="center"/>
          </w:tcPr>
          <w:p>
            <w:pPr>
              <w:spacing w:after="0" w:before="0" w:line="190" w:lineRule="exact"/>
            </w:pPr>
            <w:r>
              <w:rPr>
                <w:rFonts w:ascii="Plus Jakarta Sans" w:cs="Plus Jakarta Sans" w:eastAsia="Plus Jakarta Sans" w:hAnsi="Plus Jakarta Sans"/>
                <w:color w:val="16181A"/>
                <w:sz w:val="12"/>
                <w:szCs w:val="12"/>
              </w:rPr>
              <w:t xml:space="preserve"/>
            </w:r>
          </w:p>
        </w:tc>
        <w:tc>
          <w:tcPr>
            <w:tcW w:type="dxa" w:w="387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53575B"/>
                <w:sz w:val="17"/>
                <w:szCs w:val="17"/>
              </w:rPr>
              <w:t xml:space="preserve">Freigegeben / Bezahlt / Geprüft</w:t>
            </w:r>
          </w:p>
        </w:tc>
      </w:tr>
      <w:tr>
        <w:trPr>
          <w:cantSplit/>
        </w:trPr>
        <w:tc>
          <w:tcPr>
            <w:tcW w:type="dxa" w:w="1500"/>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7"/>
                <w:szCs w:val="17"/>
              </w:rPr>
              <w:t xml:space="preserve">Warnung</w:t>
            </w:r>
          </w:p>
        </w:tc>
        <w:tc>
          <w:tcPr>
            <w:tcW w:type="dxa" w:w="14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#985E00</w:t>
            </w:r>
          </w:p>
        </w:tc>
        <w:tc>
          <w:tcPr>
            <w:tcW w:type="dxa" w:w="620"/>
            <w:tcBorders>
              <w:top w:val="single" w:color="C5C9CD" w:sz="4" w:space="1"/>
              <w:left w:val="single" w:color="C5C9CD" w:sz="4" w:space="1"/>
              <w:bottom w:val="single" w:color="C5C9CD" w:sz="4" w:space="1"/>
              <w:right w:val="single" w:color="C5C9CD" w:sz="4" w:space="1"/>
            </w:tcBorders>
            <w:shd w:fill="985E00" w:color="auto" w:val="clear"/>
            <w:tcMar>
              <w:top w:type="dxa" w:w="24"/>
              <w:left w:type="dxa" w:w="40"/>
              <w:bottom w:type="dxa" w:w="24"/>
              <w:right w:type="dxa" w:w="40"/>
            </w:tcMar>
            <w:vAlign w:val="center"/>
          </w:tcPr>
          <w:p>
            <w:pPr>
              <w:spacing w:after="0" w:before="0" w:line="190" w:lineRule="exact"/>
            </w:pPr>
            <w:r>
              <w:rPr>
                <w:rFonts w:ascii="Plus Jakarta Sans" w:cs="Plus Jakarta Sans" w:eastAsia="Plus Jakarta Sans" w:hAnsi="Plus Jakarta Sans"/>
                <w:color w:val="16181A"/>
                <w:sz w:val="12"/>
                <w:szCs w:val="12"/>
              </w:rPr>
              <w:t xml:space="preserve"/>
            </w:r>
          </w:p>
        </w:tc>
        <w:tc>
          <w:tcPr>
            <w:tcW w:type="dxa" w:w="14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#EFAF4C</w:t>
            </w:r>
          </w:p>
        </w:tc>
        <w:tc>
          <w:tcPr>
            <w:tcW w:type="dxa" w:w="620"/>
            <w:tcBorders>
              <w:top w:val="single" w:color="C5C9CD" w:sz="4" w:space="1"/>
              <w:left w:val="single" w:color="C5C9CD" w:sz="4" w:space="1"/>
              <w:bottom w:val="single" w:color="C5C9CD" w:sz="4" w:space="1"/>
              <w:right w:val="single" w:color="C5C9CD" w:sz="4" w:space="1"/>
            </w:tcBorders>
            <w:shd w:fill="EFAF4C" w:color="auto" w:val="clear"/>
            <w:tcMar>
              <w:top w:type="dxa" w:w="24"/>
              <w:left w:type="dxa" w:w="40"/>
              <w:bottom w:type="dxa" w:w="24"/>
              <w:right w:type="dxa" w:w="40"/>
            </w:tcMar>
            <w:vAlign w:val="center"/>
          </w:tcPr>
          <w:p>
            <w:pPr>
              <w:spacing w:after="0" w:before="0" w:line="190" w:lineRule="exact"/>
            </w:pPr>
            <w:r>
              <w:rPr>
                <w:rFonts w:ascii="Plus Jakarta Sans" w:cs="Plus Jakarta Sans" w:eastAsia="Plus Jakarta Sans" w:hAnsi="Plus Jakarta Sans"/>
                <w:color w:val="16181A"/>
                <w:sz w:val="12"/>
                <w:szCs w:val="12"/>
              </w:rPr>
              <w:t xml:space="preserve"/>
            </w:r>
          </w:p>
        </w:tc>
        <w:tc>
          <w:tcPr>
            <w:tcW w:type="dxa" w:w="387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53575B"/>
                <w:sz w:val="17"/>
                <w:szCs w:val="17"/>
              </w:rPr>
              <w:t xml:space="preserve">In Prüfung / Frist läuft</w:t>
            </w:r>
          </w:p>
        </w:tc>
      </w:tr>
      <w:tr>
        <w:trPr>
          <w:cantSplit/>
        </w:trPr>
        <w:tc>
          <w:tcPr>
            <w:tcW w:type="dxa" w:w="1500"/>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7"/>
                <w:szCs w:val="17"/>
              </w:rPr>
              <w:t xml:space="preserve">Kritisch</w:t>
            </w:r>
          </w:p>
        </w:tc>
        <w:tc>
          <w:tcPr>
            <w:tcW w:type="dxa" w:w="14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#B83B36</w:t>
            </w:r>
          </w:p>
        </w:tc>
        <w:tc>
          <w:tcPr>
            <w:tcW w:type="dxa" w:w="620"/>
            <w:tcBorders>
              <w:top w:val="single" w:color="C5C9CD" w:sz="4" w:space="1"/>
              <w:left w:val="single" w:color="C5C9CD" w:sz="4" w:space="1"/>
              <w:bottom w:val="single" w:color="C5C9CD" w:sz="4" w:space="1"/>
              <w:right w:val="single" w:color="C5C9CD" w:sz="4" w:space="1"/>
            </w:tcBorders>
            <w:shd w:fill="B83B36" w:color="auto" w:val="clear"/>
            <w:tcMar>
              <w:top w:type="dxa" w:w="24"/>
              <w:left w:type="dxa" w:w="40"/>
              <w:bottom w:type="dxa" w:w="24"/>
              <w:right w:type="dxa" w:w="40"/>
            </w:tcMar>
            <w:vAlign w:val="center"/>
          </w:tcPr>
          <w:p>
            <w:pPr>
              <w:spacing w:after="0" w:before="0" w:line="190" w:lineRule="exact"/>
            </w:pPr>
            <w:r>
              <w:rPr>
                <w:rFonts w:ascii="Plus Jakarta Sans" w:cs="Plus Jakarta Sans" w:eastAsia="Plus Jakarta Sans" w:hAnsi="Plus Jakarta Sans"/>
                <w:color w:val="16181A"/>
                <w:sz w:val="12"/>
                <w:szCs w:val="12"/>
              </w:rPr>
              <w:t xml:space="preserve"/>
            </w:r>
          </w:p>
        </w:tc>
        <w:tc>
          <w:tcPr>
            <w:tcW w:type="dxa" w:w="14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#F77469</w:t>
            </w:r>
          </w:p>
        </w:tc>
        <w:tc>
          <w:tcPr>
            <w:tcW w:type="dxa" w:w="620"/>
            <w:tcBorders>
              <w:top w:val="single" w:color="C5C9CD" w:sz="4" w:space="1"/>
              <w:left w:val="single" w:color="C5C9CD" w:sz="4" w:space="1"/>
              <w:bottom w:val="single" w:color="C5C9CD" w:sz="4" w:space="1"/>
              <w:right w:val="single" w:color="C5C9CD" w:sz="4" w:space="1"/>
            </w:tcBorders>
            <w:shd w:fill="F77469" w:color="auto" w:val="clear"/>
            <w:tcMar>
              <w:top w:type="dxa" w:w="24"/>
              <w:left w:type="dxa" w:w="40"/>
              <w:bottom w:type="dxa" w:w="24"/>
              <w:right w:type="dxa" w:w="40"/>
            </w:tcMar>
            <w:vAlign w:val="center"/>
          </w:tcPr>
          <w:p>
            <w:pPr>
              <w:spacing w:after="0" w:before="0" w:line="190" w:lineRule="exact"/>
            </w:pPr>
            <w:r>
              <w:rPr>
                <w:rFonts w:ascii="Plus Jakarta Sans" w:cs="Plus Jakarta Sans" w:eastAsia="Plus Jakarta Sans" w:hAnsi="Plus Jakarta Sans"/>
                <w:color w:val="16181A"/>
                <w:sz w:val="12"/>
                <w:szCs w:val="12"/>
              </w:rPr>
              <w:t xml:space="preserve"/>
            </w:r>
          </w:p>
        </w:tc>
        <w:tc>
          <w:tcPr>
            <w:tcW w:type="dxa" w:w="387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53575B"/>
                <w:sz w:val="17"/>
                <w:szCs w:val="17"/>
              </w:rPr>
              <w:t xml:space="preserve">Überfällig / Abgelehnt</w:t>
            </w:r>
          </w:p>
        </w:tc>
      </w:tr>
      <w:tr>
        <w:trPr>
          <w:cantSplit/>
        </w:trPr>
        <w:tc>
          <w:tcPr>
            <w:tcW w:type="dxa" w:w="1500"/>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7"/>
                <w:szCs w:val="17"/>
              </w:rPr>
              <w:t xml:space="preserve">Neutral</w:t>
            </w:r>
          </w:p>
        </w:tc>
        <w:tc>
          <w:tcPr>
            <w:tcW w:type="dxa" w:w="14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#53575B</w:t>
            </w:r>
          </w:p>
        </w:tc>
        <w:tc>
          <w:tcPr>
            <w:tcW w:type="dxa" w:w="620"/>
            <w:tcBorders>
              <w:top w:val="single" w:color="C5C9CD" w:sz="4" w:space="1"/>
              <w:left w:val="single" w:color="C5C9CD" w:sz="4" w:space="1"/>
              <w:bottom w:val="single" w:color="C5C9CD" w:sz="4" w:space="1"/>
              <w:right w:val="single" w:color="C5C9CD" w:sz="4" w:space="1"/>
            </w:tcBorders>
            <w:shd w:fill="53575B" w:color="auto" w:val="clear"/>
            <w:tcMar>
              <w:top w:type="dxa" w:w="24"/>
              <w:left w:type="dxa" w:w="40"/>
              <w:bottom w:type="dxa" w:w="24"/>
              <w:right w:type="dxa" w:w="40"/>
            </w:tcMar>
            <w:vAlign w:val="center"/>
          </w:tcPr>
          <w:p>
            <w:pPr>
              <w:spacing w:after="0" w:before="0" w:line="190" w:lineRule="exact"/>
            </w:pPr>
            <w:r>
              <w:rPr>
                <w:rFonts w:ascii="Plus Jakarta Sans" w:cs="Plus Jakarta Sans" w:eastAsia="Plus Jakarta Sans" w:hAnsi="Plus Jakarta Sans"/>
                <w:color w:val="16181A"/>
                <w:sz w:val="12"/>
                <w:szCs w:val="12"/>
              </w:rPr>
              <w:t xml:space="preserve"/>
            </w:r>
          </w:p>
        </w:tc>
        <w:tc>
          <w:tcPr>
            <w:tcW w:type="dxa" w:w="14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#9AA0A6</w:t>
            </w:r>
          </w:p>
        </w:tc>
        <w:tc>
          <w:tcPr>
            <w:tcW w:type="dxa" w:w="620"/>
            <w:tcBorders>
              <w:top w:val="single" w:color="C5C9CD" w:sz="4" w:space="1"/>
              <w:left w:val="single" w:color="C5C9CD" w:sz="4" w:space="1"/>
              <w:bottom w:val="single" w:color="C5C9CD" w:sz="4" w:space="1"/>
              <w:right w:val="single" w:color="C5C9CD" w:sz="4" w:space="1"/>
            </w:tcBorders>
            <w:shd w:fill="9AA0A6" w:color="auto" w:val="clear"/>
            <w:tcMar>
              <w:top w:type="dxa" w:w="24"/>
              <w:left w:type="dxa" w:w="40"/>
              <w:bottom w:type="dxa" w:w="24"/>
              <w:right w:type="dxa" w:w="40"/>
            </w:tcMar>
            <w:vAlign w:val="center"/>
          </w:tcPr>
          <w:p>
            <w:pPr>
              <w:spacing w:after="0" w:before="0" w:line="190" w:lineRule="exact"/>
            </w:pPr>
            <w:r>
              <w:rPr>
                <w:rFonts w:ascii="Plus Jakarta Sans" w:cs="Plus Jakarta Sans" w:eastAsia="Plus Jakarta Sans" w:hAnsi="Plus Jakarta Sans"/>
                <w:color w:val="16181A"/>
                <w:sz w:val="12"/>
                <w:szCs w:val="12"/>
              </w:rPr>
              <w:t xml:space="preserve"/>
            </w:r>
          </w:p>
        </w:tc>
        <w:tc>
          <w:tcPr>
            <w:tcW w:type="dxa" w:w="387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53575B"/>
                <w:sz w:val="17"/>
                <w:szCs w:val="17"/>
              </w:rPr>
              <w:t xml:space="preserve">Entwurf / Kein Status</w:t>
            </w:r>
          </w:p>
        </w:tc>
      </w:tr>
    </w:tbl>
    <w:tbl>
      <w:tblPr>
        <w:tblW w:type="dxa" w:w="9412"/>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
      <w:tblGrid>
        <w:gridCol w:w="9412"/>
      </w:tblGrid>
      <w:tr>
        <w:tc>
          <w:tcPr>
            <w:tcW w:type="dxa" w:w="9412"/>
            <w:tcBorders>
              <w:top w:val="none" w:color="auto" w:sz="0" w:space="0"/>
              <w:left w:val="single" w:color="C5C9CD" w:sz="12" w:space="0"/>
              <w:bottom w:val="none" w:color="auto" w:sz="0" w:space="0"/>
              <w:right w:val="none" w:color="auto" w:sz="0" w:space="0"/>
            </w:tcBorders>
            <w:shd w:fill="F4F4F1" w:color="auto" w:val="clear"/>
            <w:tcMar>
              <w:top w:type="dxa" w:w="150"/>
              <w:left w:type="dxa" w:w="180"/>
              <w:bottom w:type="dxa" w:w="150"/>
              <w:right w:type="dxa" w:w="180"/>
            </w:tcMar>
          </w:tcPr>
          <w:p>
            <w:pPr>
              <w:spacing w:after="0" w:before="0" w:line="290" w:lineRule="auto"/>
            </w:pPr>
            <w:r>
              <w:rPr>
                <w:rFonts w:ascii="Plus Jakarta Sans SemiBold" w:cs="Plus Jakarta Sans SemiBold" w:eastAsia="Plus Jakarta Sans SemiBold" w:hAnsi="Plus Jakarta Sans SemiBold"/>
                <w:color w:val="16181A"/>
                <w:sz w:val="18"/>
                <w:szCs w:val="18"/>
              </w:rPr>
              <w:t xml:space="preserve">Kritisch is not the brand red. </w:t>
            </w:r>
            <w:r>
              <w:rPr>
                <w:rFonts w:ascii="Geist Mono" w:cs="Geist Mono" w:eastAsia="Geist Mono" w:hAnsi="Geist Mono"/>
                <w:color w:val="16181A"/>
                <w:sz w:val="16"/>
                <w:szCs w:val="16"/>
              </w:rPr>
              <w:t xml:space="preserve">#B83B36</w:t>
            </w:r>
            <w:r>
              <w:rPr>
                <w:rFonts w:ascii="Plus Jakarta Sans" w:cs="Plus Jakarta Sans" w:eastAsia="Plus Jakarta Sans" w:hAnsi="Plus Jakarta Sans"/>
                <w:color w:val="53575B"/>
                <w:sz w:val="18"/>
                <w:szCs w:val="18"/>
              </w:rPr>
              <w:t xml:space="preserve"> sits two ramp steps off </w:t>
            </w:r>
            <w:r>
              <w:rPr>
                <w:rFonts w:ascii="Geist Mono" w:cs="Geist Mono" w:eastAsia="Geist Mono" w:hAnsi="Geist Mono"/>
                <w:color w:val="16181A"/>
                <w:sz w:val="16"/>
                <w:szCs w:val="16"/>
              </w:rPr>
              <w:t xml:space="preserve">#8E2222</w:t>
            </w:r>
            <w:r>
              <w:rPr>
                <w:rFonts w:ascii="Plus Jakarta Sans" w:cs="Plus Jakarta Sans" w:eastAsia="Plus Jakarta Sans" w:hAnsi="Plus Jakarta Sans"/>
                <w:color w:val="53575B"/>
                <w:sz w:val="18"/>
                <w:szCs w:val="18"/>
              </w:rPr>
              <w:t xml:space="preserve"> so an error can never be mistaken for a primary button. If both appear in one view, the error carries an icon.</w:t>
            </w:r>
          </w:p>
        </w:tc>
      </w:tr>
    </w:tbl>
    <w:p>
      <w:pPr>
        <w:pStyle w:val="Heading1"/>
        <w:keepNext/>
        <w:pageBreakBefore/>
        <w:spacing w:after="60" w:before="0" w:line="320" w:lineRule="auto"/>
      </w:pPr>
      <w:bookmarkStart w:name="_Toc9000019" w:id="19"/>
      <w:r>
        <w:rPr>
          <w:rFonts w:ascii="Geist Mono" w:cs="Geist Mono" w:eastAsia="Geist Mono" w:hAnsi="Geist Mono"/>
          <w:b/>
          <w:bCs/>
          <w:color w:val="8E2222"/>
          <w:spacing w:val="-8"/>
          <w:sz w:val="44"/>
          <w:szCs w:val="44"/>
        </w:rPr>
        <w:t xml:space="preserve">05</w:t>
      </w:r>
      <w:r>
        <w:rPr>
          <w:rFonts w:ascii="Plus Jakarta Sans" w:cs="Plus Jakarta Sans" w:eastAsia="Plus Jakarta Sans" w:hAnsi="Plus Jakarta Sans"/>
          <w:color w:val="16181A"/>
          <w:sz w:val="44"/>
          <w:szCs w:val="44"/>
        </w:rPr>
        <w:t xml:space="preserve">  </w:t>
      </w:r>
      <w:r>
        <w:rPr>
          <w:rFonts w:ascii="Plus Jakarta Sans ExtraBold" w:cs="Plus Jakarta Sans ExtraBold" w:eastAsia="Plus Jakarta Sans ExtraBold" w:hAnsi="Plus Jakarta Sans ExtraBold"/>
          <w:color w:val="16181A"/>
          <w:spacing w:val="-26"/>
          <w:sz w:val="44"/>
          <w:szCs w:val="44"/>
        </w:rPr>
        <w:t xml:space="preserve">Data visualisation</w:t>
      </w:r>
      <w:bookmarkEnd w:id="19"/>
    </w:p>
    <w:p>
      <w:pPr>
        <w:pBdr>
          <w:bottom w:val="single" w:color="E2E3E0" w:sz="6" w:space="1"/>
        </w:pBdr>
        <w:spacing w:after="200" w:before="40" w:line="40" w:lineRule="exact"/>
      </w:pPr>
      <w:r>
        <w:rPr>
          <w:rFonts w:ascii="Plus Jakarta Sans" w:cs="Plus Jakarta Sans" w:eastAsia="Plus Jakarta Sans" w:hAnsi="Plus Jakarta Sans"/>
          <w:color w:val="16181A"/>
          <w:sz w:val="2"/>
          <w:szCs w:val="2"/>
        </w:rPr>
        <w:t xml:space="preserve"/>
      </w:r>
    </w:p>
    <w:p>
      <w:pPr>
        <w:spacing w:after="280" w:before="0" w:line="330" w:lineRule="auto"/>
      </w:pPr>
      <w:r>
        <w:rPr>
          <w:rFonts w:ascii="Plus Jakarta Sans" w:cs="Plus Jakarta Sans" w:eastAsia="Plus Jakarta Sans" w:hAnsi="Plus Jakarta Sans"/>
          <w:color w:val="53575B"/>
          <w:spacing w:val="-1"/>
          <w:sz w:val="22"/>
          <w:szCs w:val="22"/>
        </w:rPr>
        <w:t xml:space="preserve">Charts answer „wo stehen wir?“. The palette was not picked — it was optimised, then validated against a colour-blindness simulation.</w:t>
      </w:r>
    </w:p>
    <w:p>
      <w:pPr>
        <w:pStyle w:val="Heading2"/>
        <w:keepNext/>
        <w:keepLines/>
        <w:spacing w:after="100" w:before="0" w:line="280" w:lineRule="auto"/>
      </w:pPr>
      <w:bookmarkStart w:name="_Toc9000020" w:id="20"/>
      <w:r>
        <w:rPr>
          <w:rFonts w:ascii="Plus Jakarta Sans SemiBold" w:cs="Plus Jakarta Sans SemiBold" w:eastAsia="Plus Jakarta Sans SemiBold" w:hAnsi="Plus Jakarta Sans SemiBold"/>
          <w:color w:val="16181A"/>
          <w:spacing w:val="-6"/>
          <w:sz w:val="25"/>
          <w:szCs w:val="25"/>
        </w:rPr>
        <w:t xml:space="preserve">Categorical — fixed order, never cycled</w:t>
      </w:r>
      <w:bookmarkEnd w:id="20"/>
    </w:p>
    <w:p>
      <w:pPr>
        <w:spacing w:after="160" w:before="0" w:line="300" w:lineRule="auto"/>
      </w:pPr>
      <w:r>
        <w:rPr>
          <w:rFonts w:ascii="Plus Jakarta Sans" w:cs="Plus Jakarta Sans" w:eastAsia="Plus Jakarta Sans" w:hAnsi="Plus Jakarta Sans"/>
          <w:color w:val="53575B"/>
          <w:sz w:val="18"/>
          <w:szCs w:val="18"/>
        </w:rPr>
        <w:t xml:space="preserve">Assign slot 1 to the first series, slot 2 to the second, and stop when you run out. Never re-order to make a chart prettier: the reader learns the order across the product.</w:t>
      </w:r>
    </w:p>
    <w:tbl>
      <w:tblPr>
        <w:tblW w:type="dxa" w:w="9412"/>
        <w:tblBorders>
          <w:top w:val="single" w:color="E2E3E0" w:sz="6" w:space="1"/>
          <w:left w:val="none" w:color="auto" w:sz="0" w:space="0"/>
          <w:bottom w:val="single" w:color="E2E3E0" w:sz="6" w:space="1"/>
          <w:right w:val="none" w:color="auto" w:sz="0" w:space="0"/>
          <w:insideH w:val="single" w:color="E2E3E0" w:sz="4" w:space="1"/>
          <w:insideV w:val="none" w:color="auto" w:sz="0" w:space="0"/>
        </w:tblBorders>
        <w:tblLayout w:type="fixed"/>
      </w:tblPr>
      <w:tblGrid>
        <w:gridCol w:w="640"/>
        <w:gridCol w:w="1420"/>
        <w:gridCol w:w="1320"/>
        <w:gridCol w:w="560"/>
        <w:gridCol w:w="1320"/>
        <w:gridCol w:w="560"/>
        <w:gridCol w:w="1160"/>
        <w:gridCol w:w="2432"/>
      </w:tblGrid>
      <w:tr>
        <w:trPr>
          <w:cantSplit/>
          <w:tblHeader/>
        </w:trPr>
        <w:tc>
          <w:tcPr>
            <w:tcW w:type="dxa" w:w="64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Slot</w:t>
            </w:r>
          </w:p>
        </w:tc>
        <w:tc>
          <w:tcPr>
            <w:tcW w:type="dxa" w:w="142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Series</w:t>
            </w:r>
          </w:p>
        </w:tc>
        <w:tc>
          <w:tcPr>
            <w:tcW w:type="dxa" w:w="132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Light</w:t>
            </w:r>
          </w:p>
        </w:tc>
        <w:tc>
          <w:tcPr>
            <w:tcW w:type="dxa" w:w="56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
            </w:r>
          </w:p>
        </w:tc>
        <w:tc>
          <w:tcPr>
            <w:tcW w:type="dxa" w:w="132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Dark</w:t>
            </w:r>
          </w:p>
        </w:tc>
        <w:tc>
          <w:tcPr>
            <w:tcW w:type="dxa" w:w="56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
            </w:r>
          </w:p>
        </w:tc>
        <w:tc>
          <w:tcPr>
            <w:tcW w:type="dxa" w:w="116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On white</w:t>
            </w:r>
          </w:p>
        </w:tc>
        <w:tc>
          <w:tcPr>
            <w:tcW w:type="dxa" w:w="2432"/>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Relief</w:t>
            </w:r>
          </w:p>
        </w:tc>
      </w:tr>
      <w:tr>
        <w:trPr>
          <w:cantSplit/>
        </w:trPr>
        <w:tc>
          <w:tcPr>
            <w:tcW w:type="dxa" w:w="64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b/>
                <w:bCs/>
                <w:color w:val="16181A"/>
                <w:sz w:val="16"/>
                <w:szCs w:val="16"/>
              </w:rPr>
              <w:t xml:space="preserve">1</w:t>
            </w:r>
          </w:p>
        </w:tc>
        <w:tc>
          <w:tcPr>
            <w:tcW w:type="dxa" w:w="1420"/>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7"/>
                <w:szCs w:val="17"/>
              </w:rPr>
              <w:t xml:space="preserve">Rot</w:t>
            </w:r>
          </w:p>
        </w:tc>
        <w:tc>
          <w:tcPr>
            <w:tcW w:type="dxa" w:w="132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5"/>
                <w:szCs w:val="15"/>
              </w:rPr>
              <w:t xml:space="preserve">#A22626</w:t>
            </w:r>
          </w:p>
        </w:tc>
        <w:tc>
          <w:tcPr>
            <w:tcW w:type="dxa" w:w="560"/>
            <w:tcBorders>
              <w:top w:val="single" w:color="C5C9CD" w:sz="4" w:space="1"/>
              <w:left w:val="single" w:color="C5C9CD" w:sz="4" w:space="1"/>
              <w:bottom w:val="single" w:color="C5C9CD" w:sz="4" w:space="1"/>
              <w:right w:val="single" w:color="C5C9CD" w:sz="4" w:space="1"/>
            </w:tcBorders>
            <w:shd w:fill="A22626" w:color="auto" w:val="clear"/>
            <w:tcMar>
              <w:top w:type="dxa" w:w="24"/>
              <w:left w:type="dxa" w:w="40"/>
              <w:bottom w:type="dxa" w:w="24"/>
              <w:right w:type="dxa" w:w="40"/>
            </w:tcMar>
            <w:vAlign w:val="center"/>
          </w:tcPr>
          <w:p>
            <w:pPr>
              <w:spacing w:after="0" w:before="0" w:line="190" w:lineRule="exact"/>
            </w:pPr>
            <w:r>
              <w:rPr>
                <w:rFonts w:ascii="Plus Jakarta Sans" w:cs="Plus Jakarta Sans" w:eastAsia="Plus Jakarta Sans" w:hAnsi="Plus Jakarta Sans"/>
                <w:color w:val="16181A"/>
                <w:sz w:val="12"/>
                <w:szCs w:val="12"/>
              </w:rPr>
              <w:t xml:space="preserve"/>
            </w:r>
          </w:p>
        </w:tc>
        <w:tc>
          <w:tcPr>
            <w:tcW w:type="dxa" w:w="132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5"/>
                <w:szCs w:val="15"/>
              </w:rPr>
              <w:t xml:space="preserve">#D8574D</w:t>
            </w:r>
          </w:p>
        </w:tc>
        <w:tc>
          <w:tcPr>
            <w:tcW w:type="dxa" w:w="560"/>
            <w:tcBorders>
              <w:top w:val="single" w:color="C5C9CD" w:sz="4" w:space="1"/>
              <w:left w:val="single" w:color="C5C9CD" w:sz="4" w:space="1"/>
              <w:bottom w:val="single" w:color="C5C9CD" w:sz="4" w:space="1"/>
              <w:right w:val="single" w:color="C5C9CD" w:sz="4" w:space="1"/>
            </w:tcBorders>
            <w:shd w:fill="D8574D" w:color="auto" w:val="clear"/>
            <w:tcMar>
              <w:top w:type="dxa" w:w="24"/>
              <w:left w:type="dxa" w:w="40"/>
              <w:bottom w:type="dxa" w:w="24"/>
              <w:right w:type="dxa" w:w="40"/>
            </w:tcMar>
            <w:vAlign w:val="center"/>
          </w:tcPr>
          <w:p>
            <w:pPr>
              <w:spacing w:after="0" w:before="0" w:line="190" w:lineRule="exact"/>
            </w:pPr>
            <w:r>
              <w:rPr>
                <w:rFonts w:ascii="Plus Jakarta Sans" w:cs="Plus Jakarta Sans" w:eastAsia="Plus Jakarta Sans" w:hAnsi="Plus Jakarta Sans"/>
                <w:color w:val="16181A"/>
                <w:sz w:val="12"/>
                <w:szCs w:val="12"/>
              </w:rPr>
              <w:t xml:space="preserve"/>
            </w:r>
          </w:p>
        </w:tc>
        <w:tc>
          <w:tcPr>
            <w:tcW w:type="dxa" w:w="116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53575B"/>
                <w:sz w:val="15"/>
                <w:szCs w:val="15"/>
              </w:rPr>
              <w:t xml:space="preserve">7.39:1</w:t>
            </w:r>
          </w:p>
        </w:tc>
        <w:tc>
          <w:tcPr>
            <w:tcW w:type="dxa" w:w="243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53575B"/>
                <w:sz w:val="15"/>
                <w:szCs w:val="15"/>
              </w:rPr>
              <w:t xml:space="preserve">—</w:t>
            </w:r>
          </w:p>
        </w:tc>
      </w:tr>
      <w:tr>
        <w:trPr>
          <w:cantSplit/>
        </w:trPr>
        <w:tc>
          <w:tcPr>
            <w:tcW w:type="dxa" w:w="64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b/>
                <w:bCs/>
                <w:color w:val="16181A"/>
                <w:sz w:val="16"/>
                <w:szCs w:val="16"/>
              </w:rPr>
              <w:t xml:space="preserve">2</w:t>
            </w:r>
          </w:p>
        </w:tc>
        <w:tc>
          <w:tcPr>
            <w:tcW w:type="dxa" w:w="1420"/>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7"/>
                <w:szCs w:val="17"/>
              </w:rPr>
              <w:t xml:space="preserve">Violett</w:t>
            </w:r>
          </w:p>
        </w:tc>
        <w:tc>
          <w:tcPr>
            <w:tcW w:type="dxa" w:w="132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5"/>
                <w:szCs w:val="15"/>
              </w:rPr>
              <w:t xml:space="preserve">#A09BFF</w:t>
            </w:r>
          </w:p>
        </w:tc>
        <w:tc>
          <w:tcPr>
            <w:tcW w:type="dxa" w:w="560"/>
            <w:tcBorders>
              <w:top w:val="single" w:color="C5C9CD" w:sz="4" w:space="1"/>
              <w:left w:val="single" w:color="C5C9CD" w:sz="4" w:space="1"/>
              <w:bottom w:val="single" w:color="C5C9CD" w:sz="4" w:space="1"/>
              <w:right w:val="single" w:color="C5C9CD" w:sz="4" w:space="1"/>
            </w:tcBorders>
            <w:shd w:fill="A09BFF" w:color="auto" w:val="clear"/>
            <w:tcMar>
              <w:top w:type="dxa" w:w="24"/>
              <w:left w:type="dxa" w:w="40"/>
              <w:bottom w:type="dxa" w:w="24"/>
              <w:right w:type="dxa" w:w="40"/>
            </w:tcMar>
            <w:vAlign w:val="center"/>
          </w:tcPr>
          <w:p>
            <w:pPr>
              <w:spacing w:after="0" w:before="0" w:line="190" w:lineRule="exact"/>
            </w:pPr>
            <w:r>
              <w:rPr>
                <w:rFonts w:ascii="Plus Jakarta Sans" w:cs="Plus Jakarta Sans" w:eastAsia="Plus Jakarta Sans" w:hAnsi="Plus Jakarta Sans"/>
                <w:color w:val="16181A"/>
                <w:sz w:val="12"/>
                <w:szCs w:val="12"/>
              </w:rPr>
              <w:t xml:space="preserve"/>
            </w:r>
          </w:p>
        </w:tc>
        <w:tc>
          <w:tcPr>
            <w:tcW w:type="dxa" w:w="132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5"/>
                <w:szCs w:val="15"/>
              </w:rPr>
              <w:t xml:space="preserve">#5E54BA</w:t>
            </w:r>
          </w:p>
        </w:tc>
        <w:tc>
          <w:tcPr>
            <w:tcW w:type="dxa" w:w="560"/>
            <w:tcBorders>
              <w:top w:val="single" w:color="C5C9CD" w:sz="4" w:space="1"/>
              <w:left w:val="single" w:color="C5C9CD" w:sz="4" w:space="1"/>
              <w:bottom w:val="single" w:color="C5C9CD" w:sz="4" w:space="1"/>
              <w:right w:val="single" w:color="C5C9CD" w:sz="4" w:space="1"/>
            </w:tcBorders>
            <w:shd w:fill="5E54BA" w:color="auto" w:val="clear"/>
            <w:tcMar>
              <w:top w:type="dxa" w:w="24"/>
              <w:left w:type="dxa" w:w="40"/>
              <w:bottom w:type="dxa" w:w="24"/>
              <w:right w:type="dxa" w:w="40"/>
            </w:tcMar>
            <w:vAlign w:val="center"/>
          </w:tcPr>
          <w:p>
            <w:pPr>
              <w:spacing w:after="0" w:before="0" w:line="190" w:lineRule="exact"/>
            </w:pPr>
            <w:r>
              <w:rPr>
                <w:rFonts w:ascii="Plus Jakarta Sans" w:cs="Plus Jakarta Sans" w:eastAsia="Plus Jakarta Sans" w:hAnsi="Plus Jakarta Sans"/>
                <w:color w:val="16181A"/>
                <w:sz w:val="12"/>
                <w:szCs w:val="12"/>
              </w:rPr>
              <w:t xml:space="preserve"/>
            </w:r>
          </w:p>
        </w:tc>
        <w:tc>
          <w:tcPr>
            <w:tcW w:type="dxa" w:w="116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53575B"/>
                <w:sz w:val="15"/>
                <w:szCs w:val="15"/>
              </w:rPr>
              <w:t xml:space="preserve">2.43:1</w:t>
            </w:r>
          </w:p>
        </w:tc>
        <w:tc>
          <w:tcPr>
            <w:tcW w:type="dxa" w:w="2432"/>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5"/>
                <w:szCs w:val="15"/>
              </w:rPr>
              <w:t xml:space="preserve">Label required</w:t>
            </w:r>
          </w:p>
        </w:tc>
      </w:tr>
      <w:tr>
        <w:trPr>
          <w:cantSplit/>
        </w:trPr>
        <w:tc>
          <w:tcPr>
            <w:tcW w:type="dxa" w:w="64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b/>
                <w:bCs/>
                <w:color w:val="16181A"/>
                <w:sz w:val="16"/>
                <w:szCs w:val="16"/>
              </w:rPr>
              <w:t xml:space="preserve">3</w:t>
            </w:r>
          </w:p>
        </w:tc>
        <w:tc>
          <w:tcPr>
            <w:tcW w:type="dxa" w:w="1420"/>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7"/>
                <w:szCs w:val="17"/>
              </w:rPr>
              <w:t xml:space="preserve">Grün</w:t>
            </w:r>
          </w:p>
        </w:tc>
        <w:tc>
          <w:tcPr>
            <w:tcW w:type="dxa" w:w="132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5"/>
                <w:szCs w:val="15"/>
              </w:rPr>
              <w:t xml:space="preserve">#007A4B</w:t>
            </w:r>
          </w:p>
        </w:tc>
        <w:tc>
          <w:tcPr>
            <w:tcW w:type="dxa" w:w="560"/>
            <w:tcBorders>
              <w:top w:val="single" w:color="C5C9CD" w:sz="4" w:space="1"/>
              <w:left w:val="single" w:color="C5C9CD" w:sz="4" w:space="1"/>
              <w:bottom w:val="single" w:color="C5C9CD" w:sz="4" w:space="1"/>
              <w:right w:val="single" w:color="C5C9CD" w:sz="4" w:space="1"/>
            </w:tcBorders>
            <w:shd w:fill="007A4B" w:color="auto" w:val="clear"/>
            <w:tcMar>
              <w:top w:type="dxa" w:w="24"/>
              <w:left w:type="dxa" w:w="40"/>
              <w:bottom w:type="dxa" w:w="24"/>
              <w:right w:type="dxa" w:w="40"/>
            </w:tcMar>
            <w:vAlign w:val="center"/>
          </w:tcPr>
          <w:p>
            <w:pPr>
              <w:spacing w:after="0" w:before="0" w:line="190" w:lineRule="exact"/>
            </w:pPr>
            <w:r>
              <w:rPr>
                <w:rFonts w:ascii="Plus Jakarta Sans" w:cs="Plus Jakarta Sans" w:eastAsia="Plus Jakarta Sans" w:hAnsi="Plus Jakarta Sans"/>
                <w:color w:val="16181A"/>
                <w:sz w:val="12"/>
                <w:szCs w:val="12"/>
              </w:rPr>
              <w:t xml:space="preserve"/>
            </w:r>
          </w:p>
        </w:tc>
        <w:tc>
          <w:tcPr>
            <w:tcW w:type="dxa" w:w="132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5"/>
                <w:szCs w:val="15"/>
              </w:rPr>
              <w:t xml:space="preserve">#19A572</w:t>
            </w:r>
          </w:p>
        </w:tc>
        <w:tc>
          <w:tcPr>
            <w:tcW w:type="dxa" w:w="560"/>
            <w:tcBorders>
              <w:top w:val="single" w:color="C5C9CD" w:sz="4" w:space="1"/>
              <w:left w:val="single" w:color="C5C9CD" w:sz="4" w:space="1"/>
              <w:bottom w:val="single" w:color="C5C9CD" w:sz="4" w:space="1"/>
              <w:right w:val="single" w:color="C5C9CD" w:sz="4" w:space="1"/>
            </w:tcBorders>
            <w:shd w:fill="19A572" w:color="auto" w:val="clear"/>
            <w:tcMar>
              <w:top w:type="dxa" w:w="24"/>
              <w:left w:type="dxa" w:w="40"/>
              <w:bottom w:type="dxa" w:w="24"/>
              <w:right w:type="dxa" w:w="40"/>
            </w:tcMar>
            <w:vAlign w:val="center"/>
          </w:tcPr>
          <w:p>
            <w:pPr>
              <w:spacing w:after="0" w:before="0" w:line="190" w:lineRule="exact"/>
            </w:pPr>
            <w:r>
              <w:rPr>
                <w:rFonts w:ascii="Plus Jakarta Sans" w:cs="Plus Jakarta Sans" w:eastAsia="Plus Jakarta Sans" w:hAnsi="Plus Jakarta Sans"/>
                <w:color w:val="16181A"/>
                <w:sz w:val="12"/>
                <w:szCs w:val="12"/>
              </w:rPr>
              <w:t xml:space="preserve"/>
            </w:r>
          </w:p>
        </w:tc>
        <w:tc>
          <w:tcPr>
            <w:tcW w:type="dxa" w:w="116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53575B"/>
                <w:sz w:val="15"/>
                <w:szCs w:val="15"/>
              </w:rPr>
              <w:t xml:space="preserve">5.40:1</w:t>
            </w:r>
          </w:p>
        </w:tc>
        <w:tc>
          <w:tcPr>
            <w:tcW w:type="dxa" w:w="243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53575B"/>
                <w:sz w:val="15"/>
                <w:szCs w:val="15"/>
              </w:rPr>
              <w:t xml:space="preserve">—</w:t>
            </w:r>
          </w:p>
        </w:tc>
      </w:tr>
      <w:tr>
        <w:trPr>
          <w:cantSplit/>
        </w:trPr>
        <w:tc>
          <w:tcPr>
            <w:tcW w:type="dxa" w:w="64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b/>
                <w:bCs/>
                <w:color w:val="16181A"/>
                <w:sz w:val="16"/>
                <w:szCs w:val="16"/>
              </w:rPr>
              <w:t xml:space="preserve">4</w:t>
            </w:r>
          </w:p>
        </w:tc>
        <w:tc>
          <w:tcPr>
            <w:tcW w:type="dxa" w:w="1420"/>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7"/>
                <w:szCs w:val="17"/>
              </w:rPr>
              <w:t xml:space="preserve">Stahl</w:t>
            </w:r>
          </w:p>
        </w:tc>
        <w:tc>
          <w:tcPr>
            <w:tcW w:type="dxa" w:w="132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5"/>
                <w:szCs w:val="15"/>
              </w:rPr>
              <w:t xml:space="preserve">#60A6FF</w:t>
            </w:r>
          </w:p>
        </w:tc>
        <w:tc>
          <w:tcPr>
            <w:tcW w:type="dxa" w:w="560"/>
            <w:tcBorders>
              <w:top w:val="single" w:color="C5C9CD" w:sz="4" w:space="1"/>
              <w:left w:val="single" w:color="C5C9CD" w:sz="4" w:space="1"/>
              <w:bottom w:val="single" w:color="C5C9CD" w:sz="4" w:space="1"/>
              <w:right w:val="single" w:color="C5C9CD" w:sz="4" w:space="1"/>
            </w:tcBorders>
            <w:shd w:fill="60A6FF" w:color="auto" w:val="clear"/>
            <w:tcMar>
              <w:top w:type="dxa" w:w="24"/>
              <w:left w:type="dxa" w:w="40"/>
              <w:bottom w:type="dxa" w:w="24"/>
              <w:right w:type="dxa" w:w="40"/>
            </w:tcMar>
            <w:vAlign w:val="center"/>
          </w:tcPr>
          <w:p>
            <w:pPr>
              <w:spacing w:after="0" w:before="0" w:line="190" w:lineRule="exact"/>
            </w:pPr>
            <w:r>
              <w:rPr>
                <w:rFonts w:ascii="Plus Jakarta Sans" w:cs="Plus Jakarta Sans" w:eastAsia="Plus Jakarta Sans" w:hAnsi="Plus Jakarta Sans"/>
                <w:color w:val="16181A"/>
                <w:sz w:val="12"/>
                <w:szCs w:val="12"/>
              </w:rPr>
              <w:t xml:space="preserve"/>
            </w:r>
          </w:p>
        </w:tc>
        <w:tc>
          <w:tcPr>
            <w:tcW w:type="dxa" w:w="132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5"/>
                <w:szCs w:val="15"/>
              </w:rPr>
              <w:t xml:space="preserve">#1962B6</w:t>
            </w:r>
          </w:p>
        </w:tc>
        <w:tc>
          <w:tcPr>
            <w:tcW w:type="dxa" w:w="560"/>
            <w:tcBorders>
              <w:top w:val="single" w:color="C5C9CD" w:sz="4" w:space="1"/>
              <w:left w:val="single" w:color="C5C9CD" w:sz="4" w:space="1"/>
              <w:bottom w:val="single" w:color="C5C9CD" w:sz="4" w:space="1"/>
              <w:right w:val="single" w:color="C5C9CD" w:sz="4" w:space="1"/>
            </w:tcBorders>
            <w:shd w:fill="1962B6" w:color="auto" w:val="clear"/>
            <w:tcMar>
              <w:top w:type="dxa" w:w="24"/>
              <w:left w:type="dxa" w:w="40"/>
              <w:bottom w:type="dxa" w:w="24"/>
              <w:right w:type="dxa" w:w="40"/>
            </w:tcMar>
            <w:vAlign w:val="center"/>
          </w:tcPr>
          <w:p>
            <w:pPr>
              <w:spacing w:after="0" w:before="0" w:line="190" w:lineRule="exact"/>
            </w:pPr>
            <w:r>
              <w:rPr>
                <w:rFonts w:ascii="Plus Jakarta Sans" w:cs="Plus Jakarta Sans" w:eastAsia="Plus Jakarta Sans" w:hAnsi="Plus Jakarta Sans"/>
                <w:color w:val="16181A"/>
                <w:sz w:val="12"/>
                <w:szCs w:val="12"/>
              </w:rPr>
              <w:t xml:space="preserve"/>
            </w:r>
          </w:p>
        </w:tc>
        <w:tc>
          <w:tcPr>
            <w:tcW w:type="dxa" w:w="116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53575B"/>
                <w:sz w:val="15"/>
                <w:szCs w:val="15"/>
              </w:rPr>
              <w:t xml:space="preserve">2.50:1</w:t>
            </w:r>
          </w:p>
        </w:tc>
        <w:tc>
          <w:tcPr>
            <w:tcW w:type="dxa" w:w="2432"/>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5"/>
                <w:szCs w:val="15"/>
              </w:rPr>
              <w:t xml:space="preserve">Label required</w:t>
            </w:r>
          </w:p>
        </w:tc>
      </w:tr>
      <w:tr>
        <w:trPr>
          <w:cantSplit/>
        </w:trPr>
        <w:tc>
          <w:tcPr>
            <w:tcW w:type="dxa" w:w="64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b/>
                <w:bCs/>
                <w:color w:val="16181A"/>
                <w:sz w:val="16"/>
                <w:szCs w:val="16"/>
              </w:rPr>
              <w:t xml:space="preserve">5</w:t>
            </w:r>
          </w:p>
        </w:tc>
        <w:tc>
          <w:tcPr>
            <w:tcW w:type="dxa" w:w="1420"/>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7"/>
                <w:szCs w:val="17"/>
              </w:rPr>
              <w:t xml:space="preserve">Bernstein</w:t>
            </w:r>
          </w:p>
        </w:tc>
        <w:tc>
          <w:tcPr>
            <w:tcW w:type="dxa" w:w="132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5"/>
                <w:szCs w:val="15"/>
              </w:rPr>
              <w:t xml:space="preserve">#9B6000</w:t>
            </w:r>
          </w:p>
        </w:tc>
        <w:tc>
          <w:tcPr>
            <w:tcW w:type="dxa" w:w="560"/>
            <w:tcBorders>
              <w:top w:val="single" w:color="C5C9CD" w:sz="4" w:space="1"/>
              <w:left w:val="single" w:color="C5C9CD" w:sz="4" w:space="1"/>
              <w:bottom w:val="single" w:color="C5C9CD" w:sz="4" w:space="1"/>
              <w:right w:val="single" w:color="C5C9CD" w:sz="4" w:space="1"/>
            </w:tcBorders>
            <w:shd w:fill="9B6000" w:color="auto" w:val="clear"/>
            <w:tcMar>
              <w:top w:type="dxa" w:w="24"/>
              <w:left w:type="dxa" w:w="40"/>
              <w:bottom w:type="dxa" w:w="24"/>
              <w:right w:type="dxa" w:w="40"/>
            </w:tcMar>
            <w:vAlign w:val="center"/>
          </w:tcPr>
          <w:p>
            <w:pPr>
              <w:spacing w:after="0" w:before="0" w:line="190" w:lineRule="exact"/>
            </w:pPr>
            <w:r>
              <w:rPr>
                <w:rFonts w:ascii="Plus Jakarta Sans" w:cs="Plus Jakarta Sans" w:eastAsia="Plus Jakarta Sans" w:hAnsi="Plus Jakarta Sans"/>
                <w:color w:val="16181A"/>
                <w:sz w:val="12"/>
                <w:szCs w:val="12"/>
              </w:rPr>
              <w:t xml:space="preserve"/>
            </w:r>
          </w:p>
        </w:tc>
        <w:tc>
          <w:tcPr>
            <w:tcW w:type="dxa" w:w="132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5"/>
                <w:szCs w:val="15"/>
              </w:rPr>
              <w:t xml:space="preserve">#C57E00</w:t>
            </w:r>
          </w:p>
        </w:tc>
        <w:tc>
          <w:tcPr>
            <w:tcW w:type="dxa" w:w="560"/>
            <w:tcBorders>
              <w:top w:val="single" w:color="C5C9CD" w:sz="4" w:space="1"/>
              <w:left w:val="single" w:color="C5C9CD" w:sz="4" w:space="1"/>
              <w:bottom w:val="single" w:color="C5C9CD" w:sz="4" w:space="1"/>
              <w:right w:val="single" w:color="C5C9CD" w:sz="4" w:space="1"/>
            </w:tcBorders>
            <w:shd w:fill="C57E00" w:color="auto" w:val="clear"/>
            <w:tcMar>
              <w:top w:type="dxa" w:w="24"/>
              <w:left w:type="dxa" w:w="40"/>
              <w:bottom w:type="dxa" w:w="24"/>
              <w:right w:type="dxa" w:w="40"/>
            </w:tcMar>
            <w:vAlign w:val="center"/>
          </w:tcPr>
          <w:p>
            <w:pPr>
              <w:spacing w:after="0" w:before="0" w:line="190" w:lineRule="exact"/>
            </w:pPr>
            <w:r>
              <w:rPr>
                <w:rFonts w:ascii="Plus Jakarta Sans" w:cs="Plus Jakarta Sans" w:eastAsia="Plus Jakarta Sans" w:hAnsi="Plus Jakarta Sans"/>
                <w:color w:val="16181A"/>
                <w:sz w:val="12"/>
                <w:szCs w:val="12"/>
              </w:rPr>
              <w:t xml:space="preserve"/>
            </w:r>
          </w:p>
        </w:tc>
        <w:tc>
          <w:tcPr>
            <w:tcW w:type="dxa" w:w="116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53575B"/>
                <w:sz w:val="15"/>
                <w:szCs w:val="15"/>
              </w:rPr>
              <w:t xml:space="preserve">5.16:1</w:t>
            </w:r>
          </w:p>
        </w:tc>
        <w:tc>
          <w:tcPr>
            <w:tcW w:type="dxa" w:w="243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53575B"/>
                <w:sz w:val="15"/>
                <w:szCs w:val="15"/>
              </w:rPr>
              <w:t xml:space="preserve">—</w:t>
            </w:r>
          </w:p>
        </w:tc>
      </w:tr>
      <w:tr>
        <w:trPr>
          <w:cantSplit/>
        </w:trPr>
        <w:tc>
          <w:tcPr>
            <w:tcW w:type="dxa" w:w="64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b/>
                <w:bCs/>
                <w:color w:val="16181A"/>
                <w:sz w:val="16"/>
                <w:szCs w:val="16"/>
              </w:rPr>
              <w:t xml:space="preserve">6</w:t>
            </w:r>
          </w:p>
        </w:tc>
        <w:tc>
          <w:tcPr>
            <w:tcW w:type="dxa" w:w="1420"/>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7"/>
                <w:szCs w:val="17"/>
              </w:rPr>
              <w:t xml:space="preserve">Magenta</w:t>
            </w:r>
          </w:p>
        </w:tc>
        <w:tc>
          <w:tcPr>
            <w:tcW w:type="dxa" w:w="132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5"/>
                <w:szCs w:val="15"/>
              </w:rPr>
              <w:t xml:space="preserve">#DE75B4</w:t>
            </w:r>
          </w:p>
        </w:tc>
        <w:tc>
          <w:tcPr>
            <w:tcW w:type="dxa" w:w="560"/>
            <w:tcBorders>
              <w:top w:val="single" w:color="C5C9CD" w:sz="4" w:space="1"/>
              <w:left w:val="single" w:color="C5C9CD" w:sz="4" w:space="1"/>
              <w:bottom w:val="single" w:color="C5C9CD" w:sz="4" w:space="1"/>
              <w:right w:val="single" w:color="C5C9CD" w:sz="4" w:space="1"/>
            </w:tcBorders>
            <w:shd w:fill="DE75B4" w:color="auto" w:val="clear"/>
            <w:tcMar>
              <w:top w:type="dxa" w:w="24"/>
              <w:left w:type="dxa" w:w="40"/>
              <w:bottom w:type="dxa" w:w="24"/>
              <w:right w:type="dxa" w:w="40"/>
            </w:tcMar>
            <w:vAlign w:val="center"/>
          </w:tcPr>
          <w:p>
            <w:pPr>
              <w:spacing w:after="0" w:before="0" w:line="190" w:lineRule="exact"/>
            </w:pPr>
            <w:r>
              <w:rPr>
                <w:rFonts w:ascii="Plus Jakarta Sans" w:cs="Plus Jakarta Sans" w:eastAsia="Plus Jakarta Sans" w:hAnsi="Plus Jakarta Sans"/>
                <w:color w:val="16181A"/>
                <w:sz w:val="12"/>
                <w:szCs w:val="12"/>
              </w:rPr>
              <w:t xml:space="preserve"/>
            </w:r>
          </w:p>
        </w:tc>
        <w:tc>
          <w:tcPr>
            <w:tcW w:type="dxa" w:w="132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5"/>
                <w:szCs w:val="15"/>
              </w:rPr>
              <w:t xml:space="preserve">#A5417F</w:t>
            </w:r>
          </w:p>
        </w:tc>
        <w:tc>
          <w:tcPr>
            <w:tcW w:type="dxa" w:w="560"/>
            <w:tcBorders>
              <w:top w:val="single" w:color="C5C9CD" w:sz="4" w:space="1"/>
              <w:left w:val="single" w:color="C5C9CD" w:sz="4" w:space="1"/>
              <w:bottom w:val="single" w:color="C5C9CD" w:sz="4" w:space="1"/>
              <w:right w:val="single" w:color="C5C9CD" w:sz="4" w:space="1"/>
            </w:tcBorders>
            <w:shd w:fill="A5417F" w:color="auto" w:val="clear"/>
            <w:tcMar>
              <w:top w:type="dxa" w:w="24"/>
              <w:left w:type="dxa" w:w="40"/>
              <w:bottom w:type="dxa" w:w="24"/>
              <w:right w:type="dxa" w:w="40"/>
            </w:tcMar>
            <w:vAlign w:val="center"/>
          </w:tcPr>
          <w:p>
            <w:pPr>
              <w:spacing w:after="0" w:before="0" w:line="190" w:lineRule="exact"/>
            </w:pPr>
            <w:r>
              <w:rPr>
                <w:rFonts w:ascii="Plus Jakarta Sans" w:cs="Plus Jakarta Sans" w:eastAsia="Plus Jakarta Sans" w:hAnsi="Plus Jakarta Sans"/>
                <w:color w:val="16181A"/>
                <w:sz w:val="12"/>
                <w:szCs w:val="12"/>
              </w:rPr>
              <w:t xml:space="preserve"/>
            </w:r>
          </w:p>
        </w:tc>
        <w:tc>
          <w:tcPr>
            <w:tcW w:type="dxa" w:w="116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53575B"/>
                <w:sz w:val="15"/>
                <w:szCs w:val="15"/>
              </w:rPr>
              <w:t xml:space="preserve">2.87:1</w:t>
            </w:r>
          </w:p>
        </w:tc>
        <w:tc>
          <w:tcPr>
            <w:tcW w:type="dxa" w:w="2432"/>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5"/>
                <w:szCs w:val="15"/>
              </w:rPr>
              <w:t xml:space="preserve">Label required</w:t>
            </w:r>
          </w:p>
        </w:tc>
      </w:tr>
    </w:tbl>
    <w:p>
      <w:pPr>
        <w:spacing w:after="240" w:before="60" w:line="260" w:lineRule="auto"/>
      </w:pPr>
      <w:r>
        <w:rPr>
          <w:rFonts w:ascii="Plus Jakarta Sans" w:cs="Plus Jakarta Sans" w:eastAsia="Plus Jakarta Sans" w:hAnsi="Plus Jakarta Sans"/>
          <w:color w:val="53575B"/>
          <w:sz w:val="15"/>
          <w:szCs w:val="15"/>
        </w:rPr>
        <w:t xml:space="preserve">“On white” is the contrast of the light-theme series colour against the chart surface. Slots 2, 4 and 6 fall below 3 : 1 — wherever they appear, ship visible data labels or the underlying table view. The colour alone is not enough to read the chart.</w:t>
      </w:r>
    </w:p>
    <w:p>
      <w:pPr>
        <w:pStyle w:val="Heading2"/>
        <w:keepNext/>
        <w:keepLines/>
        <w:spacing w:after="100" w:before="300" w:line="280" w:lineRule="auto"/>
      </w:pPr>
      <w:bookmarkStart w:name="_Toc9000021" w:id="21"/>
      <w:r>
        <w:rPr>
          <w:rFonts w:ascii="Plus Jakarta Sans SemiBold" w:cs="Plus Jakarta Sans SemiBold" w:eastAsia="Plus Jakarta Sans SemiBold" w:hAnsi="Plus Jakarta Sans SemiBold"/>
          <w:color w:val="16181A"/>
          <w:spacing w:val="-6"/>
          <w:sz w:val="25"/>
          <w:szCs w:val="25"/>
        </w:rPr>
        <w:t xml:space="preserve">Validation</w:t>
      </w:r>
      <w:bookmarkEnd w:id="21"/>
    </w:p>
    <w:p>
      <w:pPr>
        <w:spacing w:after="160" w:before="0" w:line="300" w:lineRule="auto"/>
      </w:pPr>
      <w:r>
        <w:rPr>
          <w:rFonts w:ascii="Plus Jakarta Sans" w:cs="Plus Jakarta Sans" w:eastAsia="Plus Jakarta Sans" w:hAnsi="Plus Jakarta Sans"/>
          <w:color w:val="53575B"/>
          <w:sz w:val="18"/>
          <w:szCs w:val="18"/>
        </w:rPr>
        <w:t xml:space="preserve">The palette was generated, simulated for protanopia and deuteranopia, and then measured. These are the gates it had to clear.</w:t>
      </w:r>
    </w:p>
    <w:tbl>
      <w:tblPr>
        <w:tblW w:type="dxa" w:w="9412"/>
        <w:tblBorders>
          <w:top w:val="single" w:color="E2E3E0" w:sz="6" w:space="1"/>
          <w:left w:val="none" w:color="auto" w:sz="0" w:space="0"/>
          <w:bottom w:val="single" w:color="E2E3E0" w:sz="6" w:space="1"/>
          <w:right w:val="none" w:color="auto" w:sz="0" w:space="0"/>
          <w:insideH w:val="single" w:color="E2E3E0" w:sz="4" w:space="1"/>
          <w:insideV w:val="none" w:color="auto" w:sz="0" w:space="0"/>
        </w:tblBorders>
        <w:tblLayout w:type="fixed"/>
      </w:tblPr>
      <w:tblGrid>
        <w:gridCol w:w="2750"/>
        <w:gridCol w:w="1450"/>
        <w:gridCol w:w="1250"/>
        <w:gridCol w:w="3962"/>
      </w:tblGrid>
      <w:tr>
        <w:trPr>
          <w:cantSplit/>
          <w:tblHeader/>
        </w:trPr>
        <w:tc>
          <w:tcPr>
            <w:tcW w:type="dxa" w:w="275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Check</w:t>
            </w:r>
          </w:p>
        </w:tc>
        <w:tc>
          <w:tcPr>
            <w:tcW w:type="dxa" w:w="145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jc w:val="right"/>
            </w:pPr>
            <w:r>
              <w:rPr>
                <w:rFonts w:ascii="Plus Jakarta Sans SemiBold" w:cs="Plus Jakarta Sans SemiBold" w:eastAsia="Plus Jakarta Sans SemiBold" w:hAnsi="Plus Jakarta Sans SemiBold"/>
                <w:color w:val="16181A"/>
                <w:sz w:val="16"/>
                <w:szCs w:val="16"/>
              </w:rPr>
              <w:t xml:space="preserve">Light</w:t>
            </w:r>
          </w:p>
        </w:tc>
        <w:tc>
          <w:tcPr>
            <w:tcW w:type="dxa" w:w="125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jc w:val="right"/>
            </w:pPr>
            <w:r>
              <w:rPr>
                <w:rFonts w:ascii="Plus Jakarta Sans SemiBold" w:cs="Plus Jakarta Sans SemiBold" w:eastAsia="Plus Jakarta Sans SemiBold" w:hAnsi="Plus Jakarta Sans SemiBold"/>
                <w:color w:val="16181A"/>
                <w:sz w:val="16"/>
                <w:szCs w:val="16"/>
              </w:rPr>
              <w:t xml:space="preserve">Dark</w:t>
            </w:r>
          </w:p>
        </w:tc>
        <w:tc>
          <w:tcPr>
            <w:tcW w:type="dxa" w:w="3962"/>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Gate</w:t>
            </w:r>
          </w:p>
        </w:tc>
      </w:tr>
      <w:tr>
        <w:trPr>
          <w:cantSplit/>
        </w:trPr>
        <w:tc>
          <w:tcPr>
            <w:tcW w:type="dxa" w:w="2750"/>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Adjacent CVD ΔE (protan / deutan)</w:t>
            </w:r>
          </w:p>
        </w:tc>
        <w:tc>
          <w:tcPr>
            <w:tcW w:type="dxa" w:w="145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20.7</w:t>
            </w:r>
          </w:p>
        </w:tc>
        <w:tc>
          <w:tcPr>
            <w:tcW w:type="dxa" w:w="125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20.8</w:t>
            </w:r>
          </w:p>
        </w:tc>
        <w:tc>
          <w:tcPr>
            <w:tcW w:type="dxa" w:w="396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Target ≥ 8. Comfortably clear.</w:t>
            </w:r>
          </w:p>
        </w:tc>
      </w:tr>
      <w:tr>
        <w:trPr>
          <w:cantSplit/>
        </w:trPr>
        <w:tc>
          <w:tcPr>
            <w:tcW w:type="dxa" w:w="2750"/>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Normal-vision ΔE</w:t>
            </w:r>
          </w:p>
        </w:tc>
        <w:tc>
          <w:tcPr>
            <w:tcW w:type="dxa" w:w="145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24.0</w:t>
            </w:r>
          </w:p>
        </w:tc>
        <w:tc>
          <w:tcPr>
            <w:tcW w:type="dxa" w:w="125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23.1</w:t>
            </w:r>
          </w:p>
        </w:tc>
        <w:tc>
          <w:tcPr>
            <w:tcW w:type="dxa" w:w="396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Hard floor ≥ 15.</w:t>
            </w:r>
          </w:p>
        </w:tc>
      </w:tr>
      <w:tr>
        <w:trPr>
          <w:cantSplit/>
        </w:trPr>
        <w:tc>
          <w:tcPr>
            <w:tcW w:type="dxa" w:w="2750"/>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Lightness band, chroma floor</w:t>
            </w:r>
          </w:p>
        </w:tc>
        <w:tc>
          <w:tcPr>
            <w:tcW w:type="dxa" w:w="145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pass</w:t>
            </w:r>
          </w:p>
        </w:tc>
        <w:tc>
          <w:tcPr>
            <w:tcW w:type="dxa" w:w="125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pass</w:t>
            </w:r>
          </w:p>
        </w:tc>
        <w:tc>
          <w:tcPr>
            <w:tcW w:type="dxa" w:w="396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All six slots in band, all above the chroma floor.</w:t>
            </w:r>
          </w:p>
        </w:tc>
      </w:tr>
      <w:tr>
        <w:trPr>
          <w:cantSplit/>
        </w:trPr>
        <w:tc>
          <w:tcPr>
            <w:tcW w:type="dxa" w:w="2750"/>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Contrast vs surface</w:t>
            </w:r>
          </w:p>
        </w:tc>
        <w:tc>
          <w:tcPr>
            <w:tcW w:type="dxa" w:w="145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3 of 6 &lt; 3:1</w:t>
            </w:r>
          </w:p>
        </w:tc>
        <w:tc>
          <w:tcPr>
            <w:tcW w:type="dxa" w:w="125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all ≥ 3:1</w:t>
            </w:r>
          </w:p>
        </w:tc>
        <w:tc>
          <w:tcPr>
            <w:tcW w:type="dxa" w:w="396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Slots 2, 4 and 6 on white need visible labels or the table view.</w:t>
            </w:r>
          </w:p>
        </w:tc>
      </w:tr>
    </w:tbl>
    <w:tbl>
      <w:tblPr>
        <w:tblW w:type="dxa" w:w="9412"/>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
      <w:tblGrid>
        <w:gridCol w:w="9412"/>
      </w:tblGrid>
      <w:tr>
        <w:tc>
          <w:tcPr>
            <w:tcW w:type="dxa" w:w="9412"/>
            <w:tcBorders>
              <w:top w:val="none" w:color="auto" w:sz="0" w:space="0"/>
              <w:left w:val="single" w:color="C5C9CD" w:sz="12" w:space="0"/>
              <w:bottom w:val="none" w:color="auto" w:sz="0" w:space="0"/>
              <w:right w:val="none" w:color="auto" w:sz="0" w:space="0"/>
            </w:tcBorders>
            <w:shd w:fill="F4F4F1" w:color="auto" w:val="clear"/>
            <w:tcMar>
              <w:top w:type="dxa" w:w="150"/>
              <w:left w:type="dxa" w:w="180"/>
              <w:bottom w:type="dxa" w:w="150"/>
              <w:right w:type="dxa" w:w="180"/>
            </w:tcMar>
          </w:tcPr>
          <w:p>
            <w:pPr>
              <w:spacing w:after="0" w:before="0" w:line="290" w:lineRule="auto"/>
            </w:pPr>
            <w:r>
              <w:rPr>
                <w:rFonts w:ascii="Plus Jakarta Sans SemiBold" w:cs="Plus Jakarta Sans SemiBold" w:eastAsia="Plus Jakarta Sans SemiBold" w:hAnsi="Plus Jakarta Sans SemiBold"/>
                <w:color w:val="16181A"/>
                <w:sz w:val="18"/>
                <w:szCs w:val="18"/>
              </w:rPr>
              <w:t xml:space="preserve">Series cap. </w:t>
            </w:r>
            <w:r>
              <w:rPr>
                <w:rFonts w:ascii="Plus Jakarta Sans" w:cs="Plus Jakarta Sans" w:eastAsia="Plus Jakarta Sans" w:hAnsi="Plus Jakarta Sans"/>
                <w:color w:val="53575B"/>
                <w:sz w:val="18"/>
                <w:szCs w:val="18"/>
              </w:rPr>
              <w:t xml:space="preserve">Bars, columns, lines and stacks can use all six slots — only neighbours ever touch. Scatter, bubble, choropleth and small multiples cap at </w:t>
            </w:r>
            <w:r>
              <w:rPr>
                <w:rFonts w:ascii="Geist Mono" w:cs="Geist Mono" w:eastAsia="Geist Mono" w:hAnsi="Geist Mono"/>
                <w:color w:val="16181A"/>
                <w:sz w:val="16"/>
                <w:szCs w:val="16"/>
              </w:rPr>
              <w:t xml:space="preserve">two</w:t>
            </w:r>
            <w:r>
              <w:rPr>
                <w:rFonts w:ascii="Plus Jakarta Sans" w:cs="Plus Jakarta Sans" w:eastAsia="Plus Jakarta Sans" w:hAnsi="Plus Jakarta Sans"/>
                <w:color w:val="53575B"/>
                <w:sz w:val="18"/>
                <w:szCs w:val="18"/>
              </w:rPr>
              <w:t xml:space="preserve"> series, because in those forms any two marks can land side by side and the all-pairs distance, not the adjacent distance, is what governs. Past two: facet the chart, or fold the rest into „Sonstige“.</w:t>
            </w:r>
          </w:p>
        </w:tc>
      </w:tr>
    </w:tbl>
    <w:p>
      <w:pPr>
        <w:spacing w:after="0" w:before="0" w:line="220" w:lineRule="exact"/>
      </w:pPr>
      <w:r>
        <w:rPr>
          <w:rFonts w:ascii="Plus Jakarta Sans" w:cs="Plus Jakarta Sans" w:eastAsia="Plus Jakarta Sans" w:hAnsi="Plus Jakarta Sans"/>
          <w:color w:val="16181A"/>
          <w:sz w:val="2"/>
          <w:szCs w:val="2"/>
        </w:rPr>
        <w:t xml:space="preserve"/>
      </w:r>
    </w:p>
    <w:p>
      <w:pPr>
        <w:pStyle w:val="Heading2"/>
        <w:keepNext/>
        <w:keepLines/>
        <w:pageBreakBefore/>
        <w:spacing w:after="100" w:before="0" w:line="280" w:lineRule="auto"/>
      </w:pPr>
      <w:bookmarkStart w:name="_Toc9000022" w:id="22"/>
      <w:r>
        <w:rPr>
          <w:rFonts w:ascii="Plus Jakarta Sans SemiBold" w:cs="Plus Jakarta Sans SemiBold" w:eastAsia="Plus Jakarta Sans SemiBold" w:hAnsi="Plus Jakarta Sans SemiBold"/>
          <w:color w:val="16181A"/>
          <w:spacing w:val="-6"/>
          <w:sz w:val="25"/>
          <w:szCs w:val="25"/>
        </w:rPr>
        <w:t xml:space="preserve">Sequential and diverging</w:t>
      </w:r>
      <w:bookmarkEnd w:id="22"/>
    </w:p>
    <w:p>
      <w:pPr>
        <w:pStyle w:val="Heading3"/>
        <w:keepNext/>
        <w:keepLines/>
        <w:spacing w:after="70" w:before="60" w:line="260" w:lineRule="auto"/>
      </w:pPr>
      <w:r>
        <w:rPr>
          <w:rFonts w:ascii="Plus Jakarta Sans SemiBold" w:cs="Plus Jakarta Sans SemiBold" w:eastAsia="Plus Jakarta Sans SemiBold" w:hAnsi="Plus Jakarta Sans SemiBold"/>
          <w:color w:val="16181A"/>
          <w:spacing w:val="-4"/>
          <w:sz w:val="20"/>
          <w:szCs w:val="20"/>
        </w:rPr>
        <w:t xml:space="preserve">Sequential — magnitude only</w:t>
      </w:r>
    </w:p>
    <w:p>
      <w:pPr>
        <w:spacing w:after="110" w:before="0" w:line="300" w:lineRule="auto"/>
      </w:pPr>
      <w:r>
        <w:rPr>
          <w:rFonts w:ascii="Plus Jakarta Sans" w:cs="Plus Jakarta Sans" w:eastAsia="Plus Jakarta Sans" w:hAnsi="Plus Jakarta Sans"/>
          <w:color w:val="53575B"/>
          <w:sz w:val="17"/>
          <w:szCs w:val="17"/>
        </w:rPr>
        <w:t xml:space="preserve">One hue, light to dark. Heatmaps, Auslastung, Fortschritt. Seven steps of Rot, reversed in the dark theme so „more“ always means „further from the surface“.</w:t>
      </w:r>
    </w:p>
    <w:tbl>
      <w:tblPr>
        <w:tblW w:type="dxa" w:w="9408"/>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
      <w:tblGrid>
        <w:gridCol w:w="1344"/>
        <w:gridCol w:w="1344"/>
        <w:gridCol w:w="1344"/>
        <w:gridCol w:w="1344"/>
        <w:gridCol w:w="1344"/>
        <w:gridCol w:w="1344"/>
        <w:gridCol w:w="1344"/>
      </w:tblGrid>
      <w:tr>
        <w:tc>
          <w:tcPr>
            <w:tcW w:type="dxa" w:w="1344"/>
            <w:shd w:fill="FFDFD9" w:color="auto" w:val="clear"/>
            <w:tcMar>
              <w:top w:type="dxa" w:w="24"/>
              <w:left w:type="dxa" w:w="40"/>
              <w:bottom w:type="dxa" w:w="24"/>
              <w:right w:type="dxa" w:w="40"/>
            </w:tcMar>
            <w:vAlign w:val="center"/>
          </w:tcPr>
          <w:p>
            <w:pPr>
              <w:spacing w:after="0" w:before="0" w:line="300" w:lineRule="exact"/>
            </w:pPr>
            <w:r>
              <w:rPr>
                <w:rFonts w:ascii="Plus Jakarta Sans" w:cs="Plus Jakarta Sans" w:eastAsia="Plus Jakarta Sans" w:hAnsi="Plus Jakarta Sans"/>
                <w:color w:val="16181A"/>
                <w:sz w:val="12"/>
                <w:szCs w:val="12"/>
              </w:rPr>
              <w:t xml:space="preserve"/>
            </w:r>
          </w:p>
        </w:tc>
        <w:tc>
          <w:tcPr>
            <w:tcW w:type="dxa" w:w="1344"/>
            <w:shd w:fill="FFBEB5" w:color="auto" w:val="clear"/>
            <w:tcMar>
              <w:top w:type="dxa" w:w="24"/>
              <w:left w:type="dxa" w:w="40"/>
              <w:bottom w:type="dxa" w:w="24"/>
              <w:right w:type="dxa" w:w="40"/>
            </w:tcMar>
            <w:vAlign w:val="center"/>
          </w:tcPr>
          <w:p>
            <w:pPr>
              <w:spacing w:after="0" w:before="0" w:line="300" w:lineRule="exact"/>
            </w:pPr>
            <w:r>
              <w:rPr>
                <w:rFonts w:ascii="Plus Jakarta Sans" w:cs="Plus Jakarta Sans" w:eastAsia="Plus Jakarta Sans" w:hAnsi="Plus Jakarta Sans"/>
                <w:color w:val="16181A"/>
                <w:sz w:val="12"/>
                <w:szCs w:val="12"/>
              </w:rPr>
              <w:t xml:space="preserve"/>
            </w:r>
          </w:p>
        </w:tc>
        <w:tc>
          <w:tcPr>
            <w:tcW w:type="dxa" w:w="1344"/>
            <w:shd w:fill="FF978B" w:color="auto" w:val="clear"/>
            <w:tcMar>
              <w:top w:type="dxa" w:w="24"/>
              <w:left w:type="dxa" w:w="40"/>
              <w:bottom w:type="dxa" w:w="24"/>
              <w:right w:type="dxa" w:w="40"/>
            </w:tcMar>
            <w:vAlign w:val="center"/>
          </w:tcPr>
          <w:p>
            <w:pPr>
              <w:spacing w:after="0" w:before="0" w:line="300" w:lineRule="exact"/>
            </w:pPr>
            <w:r>
              <w:rPr>
                <w:rFonts w:ascii="Plus Jakarta Sans" w:cs="Plus Jakarta Sans" w:eastAsia="Plus Jakarta Sans" w:hAnsi="Plus Jakarta Sans"/>
                <w:color w:val="16181A"/>
                <w:sz w:val="12"/>
                <w:szCs w:val="12"/>
              </w:rPr>
              <w:t xml:space="preserve"/>
            </w:r>
          </w:p>
        </w:tc>
        <w:tc>
          <w:tcPr>
            <w:tcW w:type="dxa" w:w="1344"/>
            <w:shd w:fill="D8574D" w:color="auto" w:val="clear"/>
            <w:tcMar>
              <w:top w:type="dxa" w:w="24"/>
              <w:left w:type="dxa" w:w="40"/>
              <w:bottom w:type="dxa" w:w="24"/>
              <w:right w:type="dxa" w:w="40"/>
            </w:tcMar>
            <w:vAlign w:val="center"/>
          </w:tcPr>
          <w:p>
            <w:pPr>
              <w:spacing w:after="0" w:before="0" w:line="300" w:lineRule="exact"/>
            </w:pPr>
            <w:r>
              <w:rPr>
                <w:rFonts w:ascii="Plus Jakarta Sans" w:cs="Plus Jakarta Sans" w:eastAsia="Plus Jakarta Sans" w:hAnsi="Plus Jakarta Sans"/>
                <w:color w:val="16181A"/>
                <w:sz w:val="12"/>
                <w:szCs w:val="12"/>
              </w:rPr>
              <w:t xml:space="preserve"/>
            </w:r>
          </w:p>
        </w:tc>
        <w:tc>
          <w:tcPr>
            <w:tcW w:type="dxa" w:w="1344"/>
            <w:shd w:fill="B83B36" w:color="auto" w:val="clear"/>
            <w:tcMar>
              <w:top w:type="dxa" w:w="24"/>
              <w:left w:type="dxa" w:w="40"/>
              <w:bottom w:type="dxa" w:w="24"/>
              <w:right w:type="dxa" w:w="40"/>
            </w:tcMar>
            <w:vAlign w:val="center"/>
          </w:tcPr>
          <w:p>
            <w:pPr>
              <w:spacing w:after="0" w:before="0" w:line="300" w:lineRule="exact"/>
            </w:pPr>
            <w:r>
              <w:rPr>
                <w:rFonts w:ascii="Plus Jakarta Sans" w:cs="Plus Jakarta Sans" w:eastAsia="Plus Jakarta Sans" w:hAnsi="Plus Jakarta Sans"/>
                <w:color w:val="16181A"/>
                <w:sz w:val="12"/>
                <w:szCs w:val="12"/>
              </w:rPr>
              <w:t xml:space="preserve"/>
            </w:r>
          </w:p>
        </w:tc>
        <w:tc>
          <w:tcPr>
            <w:tcW w:type="dxa" w:w="1344"/>
            <w:shd w:fill="8E2222" w:color="auto" w:val="clear"/>
            <w:tcMar>
              <w:top w:type="dxa" w:w="24"/>
              <w:left w:type="dxa" w:w="40"/>
              <w:bottom w:type="dxa" w:w="24"/>
              <w:right w:type="dxa" w:w="40"/>
            </w:tcMar>
            <w:vAlign w:val="center"/>
          </w:tcPr>
          <w:p>
            <w:pPr>
              <w:spacing w:after="0" w:before="0" w:line="300" w:lineRule="exact"/>
            </w:pPr>
            <w:r>
              <w:rPr>
                <w:rFonts w:ascii="Plus Jakarta Sans" w:cs="Plus Jakarta Sans" w:eastAsia="Plus Jakarta Sans" w:hAnsi="Plus Jakarta Sans"/>
                <w:color w:val="16181A"/>
                <w:sz w:val="12"/>
                <w:szCs w:val="12"/>
              </w:rPr>
              <w:t xml:space="preserve"/>
            </w:r>
          </w:p>
        </w:tc>
        <w:tc>
          <w:tcPr>
            <w:tcW w:type="dxa" w:w="1344"/>
            <w:shd w:fill="6B1112" w:color="auto" w:val="clear"/>
            <w:tcMar>
              <w:top w:type="dxa" w:w="24"/>
              <w:left w:type="dxa" w:w="40"/>
              <w:bottom w:type="dxa" w:w="24"/>
              <w:right w:type="dxa" w:w="40"/>
            </w:tcMar>
            <w:vAlign w:val="center"/>
          </w:tcPr>
          <w:p>
            <w:pPr>
              <w:spacing w:after="0" w:before="0" w:line="300" w:lineRule="exact"/>
            </w:pPr>
            <w:r>
              <w:rPr>
                <w:rFonts w:ascii="Plus Jakarta Sans" w:cs="Plus Jakarta Sans" w:eastAsia="Plus Jakarta Sans" w:hAnsi="Plus Jakarta Sans"/>
                <w:color w:val="16181A"/>
                <w:sz w:val="12"/>
                <w:szCs w:val="12"/>
              </w:rPr>
              <w:t xml:space="preserve"/>
            </w:r>
          </w:p>
        </w:tc>
      </w:tr>
      <w:tr>
        <w:tc>
          <w:tcPr>
            <w:tcW w:type="dxa" w:w="1344"/>
            <w:tcMar>
              <w:top w:type="dxa" w:w="40"/>
              <w:left w:type="dxa" w:w="20"/>
              <w:bottom w:type="dxa" w:w="40"/>
              <w:right w:type="dxa" w:w="20"/>
            </w:tcMar>
            <w:vAlign w:val="center"/>
          </w:tcPr>
          <w:p>
            <w:pPr>
              <w:spacing w:after="0" w:before="0" w:line="250" w:lineRule="auto"/>
              <w:jc w:val="center"/>
            </w:pPr>
            <w:r>
              <w:rPr>
                <w:rFonts w:ascii="Geist Mono" w:cs="Geist Mono" w:eastAsia="Geist Mono" w:hAnsi="Geist Mono"/>
                <w:color w:val="53575B"/>
                <w:sz w:val="12"/>
                <w:szCs w:val="12"/>
              </w:rPr>
              <w:t xml:space="preserve">#FFDFD9</w:t>
            </w:r>
          </w:p>
        </w:tc>
        <w:tc>
          <w:tcPr>
            <w:tcW w:type="dxa" w:w="1344"/>
            <w:tcMar>
              <w:top w:type="dxa" w:w="40"/>
              <w:left w:type="dxa" w:w="20"/>
              <w:bottom w:type="dxa" w:w="40"/>
              <w:right w:type="dxa" w:w="20"/>
            </w:tcMar>
            <w:vAlign w:val="center"/>
          </w:tcPr>
          <w:p>
            <w:pPr>
              <w:spacing w:after="0" w:before="0" w:line="250" w:lineRule="auto"/>
              <w:jc w:val="center"/>
            </w:pPr>
            <w:r>
              <w:rPr>
                <w:rFonts w:ascii="Geist Mono" w:cs="Geist Mono" w:eastAsia="Geist Mono" w:hAnsi="Geist Mono"/>
                <w:color w:val="53575B"/>
                <w:sz w:val="12"/>
                <w:szCs w:val="12"/>
              </w:rPr>
              <w:t xml:space="preserve">#FFBEB5</w:t>
            </w:r>
          </w:p>
        </w:tc>
        <w:tc>
          <w:tcPr>
            <w:tcW w:type="dxa" w:w="1344"/>
            <w:tcMar>
              <w:top w:type="dxa" w:w="40"/>
              <w:left w:type="dxa" w:w="20"/>
              <w:bottom w:type="dxa" w:w="40"/>
              <w:right w:type="dxa" w:w="20"/>
            </w:tcMar>
            <w:vAlign w:val="center"/>
          </w:tcPr>
          <w:p>
            <w:pPr>
              <w:spacing w:after="0" w:before="0" w:line="250" w:lineRule="auto"/>
              <w:jc w:val="center"/>
            </w:pPr>
            <w:r>
              <w:rPr>
                <w:rFonts w:ascii="Geist Mono" w:cs="Geist Mono" w:eastAsia="Geist Mono" w:hAnsi="Geist Mono"/>
                <w:color w:val="53575B"/>
                <w:sz w:val="12"/>
                <w:szCs w:val="12"/>
              </w:rPr>
              <w:t xml:space="preserve">#FF978B</w:t>
            </w:r>
          </w:p>
        </w:tc>
        <w:tc>
          <w:tcPr>
            <w:tcW w:type="dxa" w:w="1344"/>
            <w:tcMar>
              <w:top w:type="dxa" w:w="40"/>
              <w:left w:type="dxa" w:w="20"/>
              <w:bottom w:type="dxa" w:w="40"/>
              <w:right w:type="dxa" w:w="20"/>
            </w:tcMar>
            <w:vAlign w:val="center"/>
          </w:tcPr>
          <w:p>
            <w:pPr>
              <w:spacing w:after="0" w:before="0" w:line="250" w:lineRule="auto"/>
              <w:jc w:val="center"/>
            </w:pPr>
            <w:r>
              <w:rPr>
                <w:rFonts w:ascii="Geist Mono" w:cs="Geist Mono" w:eastAsia="Geist Mono" w:hAnsi="Geist Mono"/>
                <w:color w:val="53575B"/>
                <w:sz w:val="12"/>
                <w:szCs w:val="12"/>
              </w:rPr>
              <w:t xml:space="preserve">#D8574D</w:t>
            </w:r>
          </w:p>
        </w:tc>
        <w:tc>
          <w:tcPr>
            <w:tcW w:type="dxa" w:w="1344"/>
            <w:tcMar>
              <w:top w:type="dxa" w:w="40"/>
              <w:left w:type="dxa" w:w="20"/>
              <w:bottom w:type="dxa" w:w="40"/>
              <w:right w:type="dxa" w:w="20"/>
            </w:tcMar>
            <w:vAlign w:val="center"/>
          </w:tcPr>
          <w:p>
            <w:pPr>
              <w:spacing w:after="0" w:before="0" w:line="250" w:lineRule="auto"/>
              <w:jc w:val="center"/>
            </w:pPr>
            <w:r>
              <w:rPr>
                <w:rFonts w:ascii="Geist Mono" w:cs="Geist Mono" w:eastAsia="Geist Mono" w:hAnsi="Geist Mono"/>
                <w:color w:val="53575B"/>
                <w:sz w:val="12"/>
                <w:szCs w:val="12"/>
              </w:rPr>
              <w:t xml:space="preserve">#B83B36</w:t>
            </w:r>
          </w:p>
        </w:tc>
        <w:tc>
          <w:tcPr>
            <w:tcW w:type="dxa" w:w="1344"/>
            <w:tcMar>
              <w:top w:type="dxa" w:w="40"/>
              <w:left w:type="dxa" w:w="20"/>
              <w:bottom w:type="dxa" w:w="40"/>
              <w:right w:type="dxa" w:w="20"/>
            </w:tcMar>
            <w:vAlign w:val="center"/>
          </w:tcPr>
          <w:p>
            <w:pPr>
              <w:spacing w:after="0" w:before="0" w:line="250" w:lineRule="auto"/>
              <w:jc w:val="center"/>
            </w:pPr>
            <w:r>
              <w:rPr>
                <w:rFonts w:ascii="Geist Mono" w:cs="Geist Mono" w:eastAsia="Geist Mono" w:hAnsi="Geist Mono"/>
                <w:color w:val="53575B"/>
                <w:sz w:val="12"/>
                <w:szCs w:val="12"/>
              </w:rPr>
              <w:t xml:space="preserve">#8E2222</w:t>
            </w:r>
          </w:p>
        </w:tc>
        <w:tc>
          <w:tcPr>
            <w:tcW w:type="dxa" w:w="1344"/>
            <w:tcMar>
              <w:top w:type="dxa" w:w="40"/>
              <w:left w:type="dxa" w:w="20"/>
              <w:bottom w:type="dxa" w:w="40"/>
              <w:right w:type="dxa" w:w="20"/>
            </w:tcMar>
            <w:vAlign w:val="center"/>
          </w:tcPr>
          <w:p>
            <w:pPr>
              <w:spacing w:after="0" w:before="0" w:line="250" w:lineRule="auto"/>
              <w:jc w:val="center"/>
            </w:pPr>
            <w:r>
              <w:rPr>
                <w:rFonts w:ascii="Geist Mono" w:cs="Geist Mono" w:eastAsia="Geist Mono" w:hAnsi="Geist Mono"/>
                <w:color w:val="53575B"/>
                <w:sz w:val="12"/>
                <w:szCs w:val="12"/>
              </w:rPr>
              <w:t xml:space="preserve">#6B1112</w:t>
            </w:r>
          </w:p>
        </w:tc>
      </w:tr>
    </w:tbl>
    <w:p>
      <w:pPr>
        <w:spacing w:after="240" w:before="60" w:line="260" w:lineRule="auto"/>
      </w:pPr>
      <w:r>
        <w:rPr>
          <w:rFonts w:ascii="Plus Jakarta Sans" w:cs="Plus Jakarta Sans" w:eastAsia="Plus Jakarta Sans" w:hAnsi="Plus Jakarta Sans"/>
          <w:color w:val="53575B"/>
          <w:sz w:val="15"/>
          <w:szCs w:val="15"/>
        </w:rPr>
        <w:t xml:space="preserve">Sequential, light theme. The dark theme runs the same seven steps in reverse.</w:t>
      </w:r>
    </w:p>
    <w:p>
      <w:pPr>
        <w:pStyle w:val="Heading3"/>
        <w:keepNext/>
        <w:keepLines/>
        <w:spacing w:after="70" w:before="220" w:line="260" w:lineRule="auto"/>
      </w:pPr>
      <w:r>
        <w:rPr>
          <w:rFonts w:ascii="Plus Jakarta Sans SemiBold" w:cs="Plus Jakarta Sans SemiBold" w:eastAsia="Plus Jakarta Sans SemiBold" w:hAnsi="Plus Jakarta Sans SemiBold"/>
          <w:color w:val="16181A"/>
          <w:spacing w:val="-4"/>
          <w:sz w:val="20"/>
          <w:szCs w:val="20"/>
        </w:rPr>
        <w:t xml:space="preserve">Diverging — polarity only</w:t>
      </w:r>
    </w:p>
    <w:p>
      <w:pPr>
        <w:spacing w:after="110" w:before="0" w:line="300" w:lineRule="auto"/>
      </w:pPr>
      <w:r>
        <w:rPr>
          <w:rFonts w:ascii="Plus Jakarta Sans" w:cs="Plus Jakarta Sans" w:eastAsia="Plus Jakarta Sans" w:hAnsi="Plus Jakarta Sans"/>
          <w:color w:val="53575B"/>
          <w:sz w:val="17"/>
          <w:szCs w:val="17"/>
        </w:rPr>
        <w:t xml:space="preserve">Stahl ↔ Rot with a neutral grey middle. Soll / Ist, Über- und Unterdeckung. Never use it for magnitude — a diverging ramp claims there is a meaningful zero.</w:t>
      </w:r>
    </w:p>
    <w:tbl>
      <w:tblPr>
        <w:tblW w:type="dxa" w:w="9408"/>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
      <w:tblGrid>
        <w:gridCol w:w="1344"/>
        <w:gridCol w:w="1344"/>
        <w:gridCol w:w="1344"/>
        <w:gridCol w:w="1344"/>
        <w:gridCol w:w="1344"/>
        <w:gridCol w:w="1344"/>
        <w:gridCol w:w="1344"/>
      </w:tblGrid>
      <w:tr>
        <w:tc>
          <w:tcPr>
            <w:tcW w:type="dxa" w:w="1344"/>
            <w:shd w:fill="00548C" w:color="auto" w:val="clear"/>
            <w:tcMar>
              <w:top w:type="dxa" w:w="24"/>
              <w:left w:type="dxa" w:w="40"/>
              <w:bottom w:type="dxa" w:w="24"/>
              <w:right w:type="dxa" w:w="40"/>
            </w:tcMar>
            <w:vAlign w:val="center"/>
          </w:tcPr>
          <w:p>
            <w:pPr>
              <w:spacing w:after="0" w:before="0" w:line="300" w:lineRule="exact"/>
            </w:pPr>
            <w:r>
              <w:rPr>
                <w:rFonts w:ascii="Plus Jakarta Sans" w:cs="Plus Jakarta Sans" w:eastAsia="Plus Jakarta Sans" w:hAnsi="Plus Jakarta Sans"/>
                <w:color w:val="16181A"/>
                <w:sz w:val="12"/>
                <w:szCs w:val="12"/>
              </w:rPr>
              <w:t xml:space="preserve"/>
            </w:r>
          </w:p>
        </w:tc>
        <w:tc>
          <w:tcPr>
            <w:tcW w:type="dxa" w:w="1344"/>
            <w:shd w:fill="0972B2" w:color="auto" w:val="clear"/>
            <w:tcMar>
              <w:top w:type="dxa" w:w="24"/>
              <w:left w:type="dxa" w:w="40"/>
              <w:bottom w:type="dxa" w:w="24"/>
              <w:right w:type="dxa" w:w="40"/>
            </w:tcMar>
            <w:vAlign w:val="center"/>
          </w:tcPr>
          <w:p>
            <w:pPr>
              <w:spacing w:after="0" w:before="0" w:line="300" w:lineRule="exact"/>
            </w:pPr>
            <w:r>
              <w:rPr>
                <w:rFonts w:ascii="Plus Jakarta Sans" w:cs="Plus Jakarta Sans" w:eastAsia="Plus Jakarta Sans" w:hAnsi="Plus Jakarta Sans"/>
                <w:color w:val="16181A"/>
                <w:sz w:val="12"/>
                <w:szCs w:val="12"/>
              </w:rPr>
              <w:t xml:space="preserve"/>
            </w:r>
          </w:p>
        </w:tc>
        <w:tc>
          <w:tcPr>
            <w:tcW w:type="dxa" w:w="1344"/>
            <w:shd w:fill="51A9EF" w:color="auto" w:val="clear"/>
            <w:tcMar>
              <w:top w:type="dxa" w:w="24"/>
              <w:left w:type="dxa" w:w="40"/>
              <w:bottom w:type="dxa" w:w="24"/>
              <w:right w:type="dxa" w:w="40"/>
            </w:tcMar>
            <w:vAlign w:val="center"/>
          </w:tcPr>
          <w:p>
            <w:pPr>
              <w:spacing w:after="0" w:before="0" w:line="300" w:lineRule="exact"/>
            </w:pPr>
            <w:r>
              <w:rPr>
                <w:rFonts w:ascii="Plus Jakarta Sans" w:cs="Plus Jakarta Sans" w:eastAsia="Plus Jakarta Sans" w:hAnsi="Plus Jakarta Sans"/>
                <w:color w:val="16181A"/>
                <w:sz w:val="12"/>
                <w:szCs w:val="12"/>
              </w:rPr>
              <w:t xml:space="preserve"/>
            </w:r>
          </w:p>
        </w:tc>
        <w:tc>
          <w:tcPr>
            <w:tcW w:type="dxa" w:w="1344"/>
            <w:shd w:fill="EFEFEC" w:color="auto" w:val="clear"/>
            <w:tcMar>
              <w:top w:type="dxa" w:w="24"/>
              <w:left w:type="dxa" w:w="40"/>
              <w:bottom w:type="dxa" w:w="24"/>
              <w:right w:type="dxa" w:w="40"/>
            </w:tcMar>
            <w:vAlign w:val="center"/>
          </w:tcPr>
          <w:p>
            <w:pPr>
              <w:spacing w:after="0" w:before="0" w:line="300" w:lineRule="exact"/>
            </w:pPr>
            <w:r>
              <w:rPr>
                <w:rFonts w:ascii="Plus Jakarta Sans" w:cs="Plus Jakarta Sans" w:eastAsia="Plus Jakarta Sans" w:hAnsi="Plus Jakarta Sans"/>
                <w:color w:val="16181A"/>
                <w:sz w:val="12"/>
                <w:szCs w:val="12"/>
              </w:rPr>
              <w:t xml:space="preserve"/>
            </w:r>
          </w:p>
        </w:tc>
        <w:tc>
          <w:tcPr>
            <w:tcW w:type="dxa" w:w="1344"/>
            <w:shd w:fill="D8574D" w:color="auto" w:val="clear"/>
            <w:tcMar>
              <w:top w:type="dxa" w:w="24"/>
              <w:left w:type="dxa" w:w="40"/>
              <w:bottom w:type="dxa" w:w="24"/>
              <w:right w:type="dxa" w:w="40"/>
            </w:tcMar>
            <w:vAlign w:val="center"/>
          </w:tcPr>
          <w:p>
            <w:pPr>
              <w:spacing w:after="0" w:before="0" w:line="300" w:lineRule="exact"/>
            </w:pPr>
            <w:r>
              <w:rPr>
                <w:rFonts w:ascii="Plus Jakarta Sans" w:cs="Plus Jakarta Sans" w:eastAsia="Plus Jakarta Sans" w:hAnsi="Plus Jakarta Sans"/>
                <w:color w:val="16181A"/>
                <w:sz w:val="12"/>
                <w:szCs w:val="12"/>
              </w:rPr>
              <w:t xml:space="preserve"/>
            </w:r>
          </w:p>
        </w:tc>
        <w:tc>
          <w:tcPr>
            <w:tcW w:type="dxa" w:w="1344"/>
            <w:shd w:fill="B83B36" w:color="auto" w:val="clear"/>
            <w:tcMar>
              <w:top w:type="dxa" w:w="24"/>
              <w:left w:type="dxa" w:w="40"/>
              <w:bottom w:type="dxa" w:w="24"/>
              <w:right w:type="dxa" w:w="40"/>
            </w:tcMar>
            <w:vAlign w:val="center"/>
          </w:tcPr>
          <w:p>
            <w:pPr>
              <w:spacing w:after="0" w:before="0" w:line="300" w:lineRule="exact"/>
            </w:pPr>
            <w:r>
              <w:rPr>
                <w:rFonts w:ascii="Plus Jakarta Sans" w:cs="Plus Jakarta Sans" w:eastAsia="Plus Jakarta Sans" w:hAnsi="Plus Jakarta Sans"/>
                <w:color w:val="16181A"/>
                <w:sz w:val="12"/>
                <w:szCs w:val="12"/>
              </w:rPr>
              <w:t xml:space="preserve"/>
            </w:r>
          </w:p>
        </w:tc>
        <w:tc>
          <w:tcPr>
            <w:tcW w:type="dxa" w:w="1344"/>
            <w:shd w:fill="8E2222" w:color="auto" w:val="clear"/>
            <w:tcMar>
              <w:top w:type="dxa" w:w="24"/>
              <w:left w:type="dxa" w:w="40"/>
              <w:bottom w:type="dxa" w:w="24"/>
              <w:right w:type="dxa" w:w="40"/>
            </w:tcMar>
            <w:vAlign w:val="center"/>
          </w:tcPr>
          <w:p>
            <w:pPr>
              <w:spacing w:after="0" w:before="0" w:line="300" w:lineRule="exact"/>
            </w:pPr>
            <w:r>
              <w:rPr>
                <w:rFonts w:ascii="Plus Jakarta Sans" w:cs="Plus Jakarta Sans" w:eastAsia="Plus Jakarta Sans" w:hAnsi="Plus Jakarta Sans"/>
                <w:color w:val="16181A"/>
                <w:sz w:val="12"/>
                <w:szCs w:val="12"/>
              </w:rPr>
              <w:t xml:space="preserve"/>
            </w:r>
          </w:p>
        </w:tc>
      </w:tr>
      <w:tr>
        <w:tc>
          <w:tcPr>
            <w:tcW w:type="dxa" w:w="1344"/>
            <w:tcMar>
              <w:top w:type="dxa" w:w="40"/>
              <w:left w:type="dxa" w:w="20"/>
              <w:bottom w:type="dxa" w:w="40"/>
              <w:right w:type="dxa" w:w="20"/>
            </w:tcMar>
            <w:vAlign w:val="center"/>
          </w:tcPr>
          <w:p>
            <w:pPr>
              <w:spacing w:after="0" w:before="0" w:line="250" w:lineRule="auto"/>
              <w:jc w:val="center"/>
            </w:pPr>
            <w:r>
              <w:rPr>
                <w:rFonts w:ascii="Geist Mono" w:cs="Geist Mono" w:eastAsia="Geist Mono" w:hAnsi="Geist Mono"/>
                <w:color w:val="53575B"/>
                <w:sz w:val="12"/>
                <w:szCs w:val="12"/>
              </w:rPr>
              <w:t xml:space="preserve">#00548C</w:t>
            </w:r>
          </w:p>
        </w:tc>
        <w:tc>
          <w:tcPr>
            <w:tcW w:type="dxa" w:w="1344"/>
            <w:tcMar>
              <w:top w:type="dxa" w:w="40"/>
              <w:left w:type="dxa" w:w="20"/>
              <w:bottom w:type="dxa" w:w="40"/>
              <w:right w:type="dxa" w:w="20"/>
            </w:tcMar>
            <w:vAlign w:val="center"/>
          </w:tcPr>
          <w:p>
            <w:pPr>
              <w:spacing w:after="0" w:before="0" w:line="250" w:lineRule="auto"/>
              <w:jc w:val="center"/>
            </w:pPr>
            <w:r>
              <w:rPr>
                <w:rFonts w:ascii="Geist Mono" w:cs="Geist Mono" w:eastAsia="Geist Mono" w:hAnsi="Geist Mono"/>
                <w:color w:val="53575B"/>
                <w:sz w:val="12"/>
                <w:szCs w:val="12"/>
              </w:rPr>
              <w:t xml:space="preserve">#0972B2</w:t>
            </w:r>
          </w:p>
        </w:tc>
        <w:tc>
          <w:tcPr>
            <w:tcW w:type="dxa" w:w="1344"/>
            <w:tcMar>
              <w:top w:type="dxa" w:w="40"/>
              <w:left w:type="dxa" w:w="20"/>
              <w:bottom w:type="dxa" w:w="40"/>
              <w:right w:type="dxa" w:w="20"/>
            </w:tcMar>
            <w:vAlign w:val="center"/>
          </w:tcPr>
          <w:p>
            <w:pPr>
              <w:spacing w:after="0" w:before="0" w:line="250" w:lineRule="auto"/>
              <w:jc w:val="center"/>
            </w:pPr>
            <w:r>
              <w:rPr>
                <w:rFonts w:ascii="Geist Mono" w:cs="Geist Mono" w:eastAsia="Geist Mono" w:hAnsi="Geist Mono"/>
                <w:color w:val="53575B"/>
                <w:sz w:val="12"/>
                <w:szCs w:val="12"/>
              </w:rPr>
              <w:t xml:space="preserve">#51A9EF</w:t>
            </w:r>
          </w:p>
        </w:tc>
        <w:tc>
          <w:tcPr>
            <w:tcW w:type="dxa" w:w="1344"/>
            <w:tcMar>
              <w:top w:type="dxa" w:w="40"/>
              <w:left w:type="dxa" w:w="20"/>
              <w:bottom w:type="dxa" w:w="40"/>
              <w:right w:type="dxa" w:w="20"/>
            </w:tcMar>
            <w:vAlign w:val="center"/>
          </w:tcPr>
          <w:p>
            <w:pPr>
              <w:spacing w:after="0" w:before="0" w:line="250" w:lineRule="auto"/>
              <w:jc w:val="center"/>
            </w:pPr>
            <w:r>
              <w:rPr>
                <w:rFonts w:ascii="Geist Mono" w:cs="Geist Mono" w:eastAsia="Geist Mono" w:hAnsi="Geist Mono"/>
                <w:color w:val="53575B"/>
                <w:sz w:val="12"/>
                <w:szCs w:val="12"/>
              </w:rPr>
              <w:t xml:space="preserve">#EFEFEC</w:t>
            </w:r>
          </w:p>
        </w:tc>
        <w:tc>
          <w:tcPr>
            <w:tcW w:type="dxa" w:w="1344"/>
            <w:tcMar>
              <w:top w:type="dxa" w:w="40"/>
              <w:left w:type="dxa" w:w="20"/>
              <w:bottom w:type="dxa" w:w="40"/>
              <w:right w:type="dxa" w:w="20"/>
            </w:tcMar>
            <w:vAlign w:val="center"/>
          </w:tcPr>
          <w:p>
            <w:pPr>
              <w:spacing w:after="0" w:before="0" w:line="250" w:lineRule="auto"/>
              <w:jc w:val="center"/>
            </w:pPr>
            <w:r>
              <w:rPr>
                <w:rFonts w:ascii="Geist Mono" w:cs="Geist Mono" w:eastAsia="Geist Mono" w:hAnsi="Geist Mono"/>
                <w:color w:val="53575B"/>
                <w:sz w:val="12"/>
                <w:szCs w:val="12"/>
              </w:rPr>
              <w:t xml:space="preserve">#D8574D</w:t>
            </w:r>
          </w:p>
        </w:tc>
        <w:tc>
          <w:tcPr>
            <w:tcW w:type="dxa" w:w="1344"/>
            <w:tcMar>
              <w:top w:type="dxa" w:w="40"/>
              <w:left w:type="dxa" w:w="20"/>
              <w:bottom w:type="dxa" w:w="40"/>
              <w:right w:type="dxa" w:w="20"/>
            </w:tcMar>
            <w:vAlign w:val="center"/>
          </w:tcPr>
          <w:p>
            <w:pPr>
              <w:spacing w:after="0" w:before="0" w:line="250" w:lineRule="auto"/>
              <w:jc w:val="center"/>
            </w:pPr>
            <w:r>
              <w:rPr>
                <w:rFonts w:ascii="Geist Mono" w:cs="Geist Mono" w:eastAsia="Geist Mono" w:hAnsi="Geist Mono"/>
                <w:color w:val="53575B"/>
                <w:sz w:val="12"/>
                <w:szCs w:val="12"/>
              </w:rPr>
              <w:t xml:space="preserve">#B83B36</w:t>
            </w:r>
          </w:p>
        </w:tc>
        <w:tc>
          <w:tcPr>
            <w:tcW w:type="dxa" w:w="1344"/>
            <w:tcMar>
              <w:top w:type="dxa" w:w="40"/>
              <w:left w:type="dxa" w:w="20"/>
              <w:bottom w:type="dxa" w:w="40"/>
              <w:right w:type="dxa" w:w="20"/>
            </w:tcMar>
            <w:vAlign w:val="center"/>
          </w:tcPr>
          <w:p>
            <w:pPr>
              <w:spacing w:after="0" w:before="0" w:line="250" w:lineRule="auto"/>
              <w:jc w:val="center"/>
            </w:pPr>
            <w:r>
              <w:rPr>
                <w:rFonts w:ascii="Geist Mono" w:cs="Geist Mono" w:eastAsia="Geist Mono" w:hAnsi="Geist Mono"/>
                <w:color w:val="53575B"/>
                <w:sz w:val="12"/>
                <w:szCs w:val="12"/>
              </w:rPr>
              <w:t xml:space="preserve">#8E2222</w:t>
            </w:r>
          </w:p>
        </w:tc>
      </w:tr>
    </w:tbl>
    <w:p>
      <w:pPr>
        <w:spacing w:after="240" w:before="60" w:line="260" w:lineRule="auto"/>
      </w:pPr>
      <w:r>
        <w:rPr>
          <w:rFonts w:ascii="Plus Jakarta Sans" w:cs="Plus Jakarta Sans" w:eastAsia="Plus Jakarta Sans" w:hAnsi="Plus Jakarta Sans"/>
          <w:color w:val="53575B"/>
          <w:sz w:val="15"/>
          <w:szCs w:val="15"/>
        </w:rPr>
        <w:t xml:space="preserve">Diverging: Stahl for positive, Rot for negative, --bl-bg-2 (#EFEFEC light, #2A2E33 dark) as the midpoint.</w:t>
      </w:r>
    </w:p>
    <w:p>
      <w:pPr>
        <w:pStyle w:val="Heading2"/>
        <w:keepNext/>
        <w:keepLines/>
        <w:spacing w:after="100" w:before="300" w:line="280" w:lineRule="auto"/>
      </w:pPr>
      <w:bookmarkStart w:name="_Toc9000023" w:id="23"/>
      <w:r>
        <w:rPr>
          <w:rFonts w:ascii="Plus Jakarta Sans SemiBold" w:cs="Plus Jakarta Sans SemiBold" w:eastAsia="Plus Jakarta Sans SemiBold" w:hAnsi="Plus Jakarta Sans SemiBold"/>
          <w:color w:val="16181A"/>
          <w:spacing w:val="-6"/>
          <w:sz w:val="25"/>
          <w:szCs w:val="25"/>
        </w:rPr>
        <w:t xml:space="preserve">Marks</w:t>
      </w:r>
      <w:bookmarkEnd w:id="23"/>
    </w:p>
    <w:p>
      <w:pPr>
        <w:spacing w:after="160" w:before="0" w:line="300" w:lineRule="auto"/>
      </w:pPr>
      <w:r>
        <w:rPr>
          <w:rFonts w:ascii="Plus Jakarta Sans" w:cs="Plus Jakarta Sans" w:eastAsia="Plus Jakarta Sans" w:hAnsi="Plus Jakarta Sans"/>
          <w:color w:val="53575B"/>
          <w:sz w:val="18"/>
          <w:szCs w:val="18"/>
        </w:rPr>
        <w:t xml:space="preserve">The palette decides what a series is. These specs decide what it looks like.</w:t>
      </w:r>
    </w:p>
    <w:tbl>
      <w:tblPr>
        <w:tblW w:type="dxa" w:w="9412"/>
        <w:tblBorders>
          <w:top w:val="single" w:color="E2E3E0" w:sz="6" w:space="1"/>
          <w:left w:val="none" w:color="auto" w:sz="0" w:space="0"/>
          <w:bottom w:val="single" w:color="E2E3E0" w:sz="6" w:space="1"/>
          <w:right w:val="none" w:color="auto" w:sz="0" w:space="0"/>
          <w:insideH w:val="single" w:color="E2E3E0" w:sz="4" w:space="1"/>
          <w:insideV w:val="none" w:color="auto" w:sz="0" w:space="0"/>
        </w:tblBorders>
        <w:tblLayout w:type="fixed"/>
      </w:tblPr>
      <w:tblGrid>
        <w:gridCol w:w="1900"/>
        <w:gridCol w:w="7512"/>
      </w:tblGrid>
      <w:tr>
        <w:trPr>
          <w:cantSplit/>
          <w:tblHeader/>
        </w:trPr>
        <w:tc>
          <w:tcPr>
            <w:tcW w:type="dxa" w:w="190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Element</w:t>
            </w:r>
          </w:p>
        </w:tc>
        <w:tc>
          <w:tcPr>
            <w:tcW w:type="dxa" w:w="7512"/>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Specification</w:t>
            </w:r>
          </w:p>
        </w:tc>
      </w:tr>
      <w:tr>
        <w:trPr>
          <w:cantSplit/>
        </w:trPr>
        <w:tc>
          <w:tcPr>
            <w:tcW w:type="dxa" w:w="1900"/>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Bars</w:t>
            </w:r>
          </w:p>
        </w:tc>
        <w:tc>
          <w:tcPr>
            <w:tcW w:type="dxa" w:w="75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Maximum 24 px thick. 4 px rounded at the data end, square at the baseline.</w:t>
            </w:r>
          </w:p>
        </w:tc>
      </w:tr>
      <w:tr>
        <w:trPr>
          <w:cantSplit/>
        </w:trPr>
        <w:tc>
          <w:tcPr>
            <w:tcW w:type="dxa" w:w="1900"/>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Lines</w:t>
            </w:r>
          </w:p>
        </w:tc>
        <w:tc>
          <w:tcPr>
            <w:tcW w:type="dxa" w:w="75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2 px stroke. Markers at least 8 px, each with a 2 px ring in the surface colour.</w:t>
            </w:r>
          </w:p>
        </w:tc>
      </w:tr>
      <w:tr>
        <w:trPr>
          <w:cantSplit/>
        </w:trPr>
        <w:tc>
          <w:tcPr>
            <w:tcW w:type="dxa" w:w="1900"/>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Stacks</w:t>
            </w:r>
          </w:p>
        </w:tc>
        <w:tc>
          <w:tcPr>
            <w:tcW w:type="dxa" w:w="75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A 2 px surface-coloured gap between segments — never a stroke.</w:t>
            </w:r>
          </w:p>
        </w:tc>
      </w:tr>
      <w:tr>
        <w:trPr>
          <w:cantSplit/>
        </w:trPr>
        <w:tc>
          <w:tcPr>
            <w:tcW w:type="dxa" w:w="1900"/>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Gridlines</w:t>
            </w:r>
          </w:p>
        </w:tc>
        <w:tc>
          <w:tcPr>
            <w:tcW w:type="dxa" w:w="75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Hairline, solid, one step off the surface: #E2E3E0 light, #24282D dark.</w:t>
            </w:r>
          </w:p>
        </w:tc>
      </w:tr>
      <w:tr>
        <w:trPr>
          <w:cantSplit/>
        </w:trPr>
        <w:tc>
          <w:tcPr>
            <w:tcW w:type="dxa" w:w="1900"/>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Axis</w:t>
            </w:r>
          </w:p>
        </w:tc>
        <w:tc>
          <w:tcPr>
            <w:tcW w:type="dxa" w:w="75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#C5C9CD light, #383B3F dark. Axis labels use --bl-ink-3.</w:t>
            </w:r>
          </w:p>
        </w:tc>
      </w:tr>
      <w:tr>
        <w:trPr>
          <w:cantSplit/>
        </w:trPr>
        <w:tc>
          <w:tcPr>
            <w:tcW w:type="dxa" w:w="1900"/>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Surface</w:t>
            </w:r>
          </w:p>
        </w:tc>
        <w:tc>
          <w:tcPr>
            <w:tcW w:type="dxa" w:w="75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#FFFFFF light, #121418 dark. No plot border, no fill behind the plot.</w:t>
            </w:r>
          </w:p>
        </w:tc>
      </w:tr>
      <w:tr>
        <w:trPr>
          <w:cantSplit/>
        </w:trPr>
        <w:tc>
          <w:tcPr>
            <w:tcW w:type="dxa" w:w="1900"/>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Labels</w:t>
            </w:r>
          </w:p>
        </w:tc>
        <w:tc>
          <w:tcPr>
            <w:tcW w:type="dxa" w:w="75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Label the endpoint or the extreme, not every point. Text wears ink, never the series colour.</w:t>
            </w:r>
          </w:p>
        </w:tc>
      </w:tr>
      <w:tr>
        <w:trPr>
          <w:cantSplit/>
        </w:trPr>
        <w:tc>
          <w:tcPr>
            <w:tcW w:type="dxa" w:w="1900"/>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Legend</w:t>
            </w:r>
          </w:p>
        </w:tc>
        <w:tc>
          <w:tcPr>
            <w:tcW w:type="dxa" w:w="75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Whenever there are two or more series.</w:t>
            </w:r>
          </w:p>
        </w:tc>
      </w:tr>
    </w:tbl>
    <w:tbl>
      <w:tblPr>
        <w:tblW w:type="dxa" w:w="9412"/>
        <w:tblBorders>
          <w:top w:val="single" w:color="E2E3E0" w:sz="6" w:space="1"/>
          <w:left w:val="none" w:color="auto" w:sz="0" w:space="0"/>
          <w:bottom w:val="single" w:color="E2E3E0" w:sz="6" w:space="1"/>
          <w:right w:val="none" w:color="auto" w:sz="0" w:space="0"/>
          <w:insideH w:val="none" w:color="auto" w:sz="0" w:space="0"/>
          <w:insideV w:val="none" w:color="auto" w:sz="0" w:space="0"/>
        </w:tblBorders>
        <w:tblLayout w:type="fixed"/>
      </w:tblPr>
      <w:tblGrid>
        <w:gridCol w:w="4706"/>
        <w:gridCol w:w="4706"/>
      </w:tblGrid>
      <w:tr>
        <w:trPr>
          <w:cantSplit/>
          <w:tblHeader/>
        </w:trPr>
        <w:tc>
          <w:tcPr>
            <w:tcW w:type="dxa" w:w="4706"/>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Do</w:t>
            </w:r>
          </w:p>
        </w:tc>
        <w:tc>
          <w:tcPr>
            <w:tcW w:type="dxa" w:w="4706"/>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Don’t</w:t>
            </w:r>
          </w:p>
        </w:tc>
      </w:tr>
      <w:tr>
        <w:tc>
          <w:tcPr>
            <w:tcW w:type="dxa" w:w="4706"/>
            <w:tcMar>
              <w:top w:type="dxa" w:w="130"/>
              <w:left w:type="dxa" w:w="90"/>
              <w:bottom w:type="dxa" w:w="130"/>
              <w:right w:type="dxa" w:w="260"/>
            </w:tcMar>
            <w:vAlign w:val="top"/>
          </w:tcPr>
          <w:p>
            <w:pPr>
              <w:pStyle w:val="ListParagraph"/>
              <w:numPr>
                <w:ilvl w:val="0"/>
                <w:numId w:val="2"/>
              </w:numPr>
              <w:spacing w:after="70" w:before="0" w:line="280" w:lineRule="auto"/>
            </w:pPr>
            <w:r>
              <w:rPr>
                <w:rFonts w:ascii="Plus Jakarta Sans" w:cs="Plus Jakarta Sans" w:eastAsia="Plus Jakarta Sans" w:hAnsi="Plus Jakarta Sans"/>
                <w:color w:val="16181A"/>
                <w:sz w:val="17"/>
                <w:szCs w:val="17"/>
              </w:rPr>
              <w:t xml:space="preserve">Give every chart a title and a unit line — „in Tausend Euro“.</w:t>
            </w:r>
          </w:p>
          <w:p>
            <w:pPr>
              <w:pStyle w:val="ListParagraph"/>
              <w:numPr>
                <w:ilvl w:val="0"/>
                <w:numId w:val="2"/>
              </w:numPr>
              <w:spacing w:after="70" w:before="0" w:line="280" w:lineRule="auto"/>
            </w:pPr>
            <w:r>
              <w:rPr>
                <w:rFonts w:ascii="Plus Jakarta Sans" w:cs="Plus Jakarta Sans" w:eastAsia="Plus Jakarta Sans" w:hAnsi="Plus Jakarta Sans"/>
                <w:color w:val="16181A"/>
                <w:sz w:val="17"/>
                <w:szCs w:val="17"/>
              </w:rPr>
              <w:t xml:space="preserve">Sort categories by value unless their order is itself meaningful.</w:t>
            </w:r>
          </w:p>
          <w:p>
            <w:pPr>
              <w:pStyle w:val="ListParagraph"/>
              <w:numPr>
                <w:ilvl w:val="0"/>
                <w:numId w:val="2"/>
              </w:numPr>
              <w:spacing w:after="70" w:before="0" w:line="280" w:lineRule="auto"/>
            </w:pPr>
            <w:r>
              <w:rPr>
                <w:rFonts w:ascii="Plus Jakarta Sans" w:cs="Plus Jakarta Sans" w:eastAsia="Plus Jakarta Sans" w:hAnsi="Plus Jakarta Sans"/>
                <w:color w:val="16181A"/>
                <w:sz w:val="17"/>
                <w:szCs w:val="17"/>
              </w:rPr>
              <w:t xml:space="preserve">Ship the table view beside any chart that uses slot 2, 4 or 6.</w:t>
            </w:r>
          </w:p>
          <w:p>
            <w:pPr>
              <w:pStyle w:val="ListParagraph"/>
              <w:numPr>
                <w:ilvl w:val="0"/>
                <w:numId w:val="2"/>
              </w:numPr>
              <w:spacing w:after="70" w:before="0" w:line="280" w:lineRule="auto"/>
            </w:pPr>
            <w:r>
              <w:rPr>
                <w:rFonts w:ascii="Plus Jakarta Sans" w:cs="Plus Jakarta Sans" w:eastAsia="Plus Jakarta Sans" w:hAnsi="Plus Jakarta Sans"/>
                <w:color w:val="16181A"/>
                <w:sz w:val="17"/>
                <w:szCs w:val="17"/>
              </w:rPr>
              <w:t xml:space="preserve">Start bar axes at zero. Line axes may be zoomed if you say so.</w:t>
            </w:r>
          </w:p>
          <w:p>
            <w:pPr>
              <w:pStyle w:val="ListParagraph"/>
              <w:numPr>
                <w:ilvl w:val="0"/>
                <w:numId w:val="2"/>
              </w:numPr>
              <w:spacing w:after="70" w:before="0" w:line="280" w:lineRule="auto"/>
            </w:pPr>
            <w:r>
              <w:rPr>
                <w:rFonts w:ascii="Plus Jakarta Sans" w:cs="Plus Jakarta Sans" w:eastAsia="Plus Jakarta Sans" w:hAnsi="Plus Jakarta Sans"/>
                <w:color w:val="16181A"/>
                <w:sz w:val="17"/>
                <w:szCs w:val="17"/>
              </w:rPr>
              <w:t xml:space="preserve">Keep the same series in the same slot across every view of the same data.</w:t>
            </w:r>
          </w:p>
        </w:tc>
        <w:tc>
          <w:tcPr>
            <w:tcW w:type="dxa" w:w="4706"/>
            <w:tcMar>
              <w:top w:type="dxa" w:w="130"/>
              <w:left w:type="dxa" w:w="260"/>
              <w:bottom w:type="dxa" w:w="130"/>
              <w:right w:type="dxa" w:w="90"/>
            </w:tcMar>
            <w:vAlign w:val="top"/>
          </w:tcPr>
          <w:p>
            <w:pPr>
              <w:pStyle w:val="ListParagraph"/>
              <w:numPr>
                <w:ilvl w:val="0"/>
                <w:numId w:val="3"/>
              </w:numPr>
              <w:spacing w:after="70" w:before="0" w:line="280" w:lineRule="auto"/>
            </w:pPr>
            <w:r>
              <w:rPr>
                <w:rFonts w:ascii="Plus Jakarta Sans" w:cs="Plus Jakarta Sans" w:eastAsia="Plus Jakarta Sans" w:hAnsi="Plus Jakarta Sans"/>
                <w:color w:val="16181A"/>
                <w:sz w:val="17"/>
                <w:szCs w:val="17"/>
              </w:rPr>
              <w:t xml:space="preserve">Two y-axes. Ever. Split into two charts or index to a common base.</w:t>
            </w:r>
          </w:p>
          <w:p>
            <w:pPr>
              <w:pStyle w:val="ListParagraph"/>
              <w:numPr>
                <w:ilvl w:val="0"/>
                <w:numId w:val="3"/>
              </w:numPr>
              <w:spacing w:after="70" w:before="0" w:line="280" w:lineRule="auto"/>
            </w:pPr>
            <w:r>
              <w:rPr>
                <w:rFonts w:ascii="Plus Jakarta Sans" w:cs="Plus Jakarta Sans" w:eastAsia="Plus Jakarta Sans" w:hAnsi="Plus Jakarta Sans"/>
                <w:color w:val="16181A"/>
                <w:sz w:val="17"/>
                <w:szCs w:val="17"/>
              </w:rPr>
              <w:t xml:space="preserve">Colour bars by their value — bar length already says that.</w:t>
            </w:r>
          </w:p>
          <w:p>
            <w:pPr>
              <w:pStyle w:val="ListParagraph"/>
              <w:numPr>
                <w:ilvl w:val="0"/>
                <w:numId w:val="3"/>
              </w:numPr>
              <w:spacing w:after="70" w:before="0" w:line="280" w:lineRule="auto"/>
            </w:pPr>
            <w:r>
              <w:rPr>
                <w:rFonts w:ascii="Plus Jakarta Sans" w:cs="Plus Jakarta Sans" w:eastAsia="Plus Jakarta Sans" w:hAnsi="Plus Jakarta Sans"/>
                <w:color w:val="16181A"/>
                <w:sz w:val="17"/>
                <w:szCs w:val="17"/>
              </w:rPr>
              <w:t xml:space="preserve">Use a status colour as „Serie 4“.</w:t>
            </w:r>
          </w:p>
          <w:p>
            <w:pPr>
              <w:pStyle w:val="ListParagraph"/>
              <w:numPr>
                <w:ilvl w:val="0"/>
                <w:numId w:val="3"/>
              </w:numPr>
              <w:spacing w:after="70" w:before="0" w:line="280" w:lineRule="auto"/>
            </w:pPr>
            <w:r>
              <w:rPr>
                <w:rFonts w:ascii="Plus Jakarta Sans" w:cs="Plus Jakarta Sans" w:eastAsia="Plus Jakarta Sans" w:hAnsi="Plus Jakarta Sans"/>
                <w:color w:val="16181A"/>
                <w:sz w:val="17"/>
                <w:szCs w:val="17"/>
              </w:rPr>
              <w:t xml:space="preserve">Colour the label text with the series colour. Marks carry colour; text wears ink.</w:t>
            </w:r>
          </w:p>
          <w:p>
            <w:pPr>
              <w:pStyle w:val="ListParagraph"/>
              <w:numPr>
                <w:ilvl w:val="0"/>
                <w:numId w:val="3"/>
              </w:numPr>
              <w:spacing w:after="70" w:before="0" w:line="280" w:lineRule="auto"/>
            </w:pPr>
            <w:r>
              <w:rPr>
                <w:rFonts w:ascii="Plus Jakarta Sans" w:cs="Plus Jakarta Sans" w:eastAsia="Plus Jakarta Sans" w:hAnsi="Plus Jakarta Sans"/>
                <w:color w:val="16181A"/>
                <w:sz w:val="17"/>
                <w:szCs w:val="17"/>
              </w:rPr>
              <w:t xml:space="preserve">Dashed gridlines, 3-D, gradients, or a border around the plot.</w:t>
            </w:r>
          </w:p>
        </w:tc>
      </w:tr>
    </w:tbl>
    <w:p>
      <w:pPr>
        <w:pStyle w:val="Heading1"/>
        <w:keepNext/>
        <w:pageBreakBefore/>
        <w:spacing w:after="60" w:before="0" w:line="320" w:lineRule="auto"/>
      </w:pPr>
      <w:bookmarkStart w:name="_Toc9000024" w:id="24"/>
      <w:r>
        <w:rPr>
          <w:rFonts w:ascii="Geist Mono" w:cs="Geist Mono" w:eastAsia="Geist Mono" w:hAnsi="Geist Mono"/>
          <w:b/>
          <w:bCs/>
          <w:color w:val="8E2222"/>
          <w:spacing w:val="-8"/>
          <w:sz w:val="44"/>
          <w:szCs w:val="44"/>
        </w:rPr>
        <w:t xml:space="preserve">06</w:t>
      </w:r>
      <w:r>
        <w:rPr>
          <w:rFonts w:ascii="Plus Jakarta Sans" w:cs="Plus Jakarta Sans" w:eastAsia="Plus Jakarta Sans" w:hAnsi="Plus Jakarta Sans"/>
          <w:color w:val="16181A"/>
          <w:sz w:val="44"/>
          <w:szCs w:val="44"/>
        </w:rPr>
        <w:t xml:space="preserve">  </w:t>
      </w:r>
      <w:r>
        <w:rPr>
          <w:rFonts w:ascii="Plus Jakarta Sans ExtraBold" w:cs="Plus Jakarta Sans ExtraBold" w:eastAsia="Plus Jakarta Sans ExtraBold" w:hAnsi="Plus Jakarta Sans ExtraBold"/>
          <w:color w:val="16181A"/>
          <w:spacing w:val="-26"/>
          <w:sz w:val="44"/>
          <w:szCs w:val="44"/>
        </w:rPr>
        <w:t xml:space="preserve">Layout &amp; space</w:t>
      </w:r>
      <w:bookmarkEnd w:id="24"/>
    </w:p>
    <w:p>
      <w:pPr>
        <w:pBdr>
          <w:bottom w:val="single" w:color="E2E3E0" w:sz="6" w:space="1"/>
        </w:pBdr>
        <w:spacing w:after="200" w:before="40" w:line="40" w:lineRule="exact"/>
      </w:pPr>
      <w:r>
        <w:rPr>
          <w:rFonts w:ascii="Plus Jakarta Sans" w:cs="Plus Jakarta Sans" w:eastAsia="Plus Jakarta Sans" w:hAnsi="Plus Jakarta Sans"/>
          <w:color w:val="16181A"/>
          <w:sz w:val="2"/>
          <w:szCs w:val="2"/>
        </w:rPr>
        <w:t xml:space="preserve"/>
      </w:r>
    </w:p>
    <w:p>
      <w:pPr>
        <w:spacing w:after="280" w:before="0" w:line="330" w:lineRule="auto"/>
      </w:pPr>
      <w:r>
        <w:rPr>
          <w:rFonts w:ascii="Plus Jakarta Sans" w:cs="Plus Jakarta Sans" w:eastAsia="Plus Jakarta Sans" w:hAnsi="Plus Jakarta Sans"/>
          <w:color w:val="53575B"/>
          <w:spacing w:val="-1"/>
          <w:sz w:val="22"/>
          <w:szCs w:val="22"/>
        </w:rPr>
        <w:t xml:space="preserve">One 4 pt unit, a 1200 px content maximum, and hairlines instead of boxes.</w:t>
      </w:r>
    </w:p>
    <w:p>
      <w:pPr>
        <w:pStyle w:val="Heading2"/>
        <w:keepNext/>
        <w:keepLines/>
        <w:spacing w:after="100" w:before="0" w:line="280" w:lineRule="auto"/>
      </w:pPr>
      <w:bookmarkStart w:name="_Toc9000025" w:id="25"/>
      <w:r>
        <w:rPr>
          <w:rFonts w:ascii="Plus Jakarta Sans SemiBold" w:cs="Plus Jakarta Sans SemiBold" w:eastAsia="Plus Jakarta Sans SemiBold" w:hAnsi="Plus Jakarta Sans SemiBold"/>
          <w:color w:val="16181A"/>
          <w:spacing w:val="-6"/>
          <w:sz w:val="25"/>
          <w:szCs w:val="25"/>
        </w:rPr>
        <w:t xml:space="preserve">Spacing</w:t>
      </w:r>
      <w:bookmarkEnd w:id="25"/>
    </w:p>
    <w:p>
      <w:pPr>
        <w:spacing w:after="140" w:before="0" w:line="300" w:lineRule="auto"/>
      </w:pPr>
      <w:r>
        <w:rPr>
          <w:rFonts w:ascii="Plus Jakarta Sans" w:cs="Plus Jakarta Sans" w:eastAsia="Plus Jakarta Sans" w:hAnsi="Plus Jakarta Sans"/>
          <w:color w:val="53575B"/>
          <w:sz w:val="18"/>
          <w:szCs w:val="18"/>
        </w:rPr>
        <w:t xml:space="preserve">Base unit </w:t>
      </w:r>
      <w:r>
        <w:rPr>
          <w:rFonts w:ascii="Geist Mono" w:cs="Geist Mono" w:eastAsia="Geist Mono" w:hAnsi="Geist Mono"/>
          <w:color w:val="16181A"/>
          <w:sz w:val="16"/>
          <w:szCs w:val="16"/>
        </w:rPr>
        <w:t xml:space="preserve">4 px</w:t>
      </w:r>
      <w:r>
        <w:rPr>
          <w:rFonts w:ascii="Plus Jakarta Sans" w:cs="Plus Jakarta Sans" w:eastAsia="Plus Jakarta Sans" w:hAnsi="Plus Jakarta Sans"/>
          <w:color w:val="53575B"/>
          <w:sz w:val="18"/>
          <w:szCs w:val="18"/>
        </w:rPr>
        <w:t xml:space="preserve">. Every margin, padding and gap is a step on this scale — nothing in between.</w:t>
      </w:r>
    </w:p>
    <w:tbl>
      <w:tblPr>
        <w:tblW w:type="dxa" w:w="9412"/>
        <w:tblBorders>
          <w:top w:val="single" w:color="E2E3E0" w:sz="6" w:space="1"/>
          <w:left w:val="none" w:color="auto" w:sz="0" w:space="0"/>
          <w:bottom w:val="single" w:color="E2E3E0" w:sz="6" w:space="1"/>
          <w:right w:val="none" w:color="auto" w:sz="0" w:space="0"/>
          <w:insideH w:val="none" w:color="auto" w:sz="0" w:space="0"/>
          <w:insideV w:val="none" w:color="auto" w:sz="0" w:space="0"/>
        </w:tblBorders>
        <w:tblLayout w:type="fixed"/>
      </w:tblPr>
      <w:tblGrid>
        <w:gridCol w:w="9412"/>
      </w:tblGrid>
      <w:tr>
        <w:tc>
          <w:tcPr>
            <w:tcW w:type="dxa" w:w="9412"/>
            <w:tcBorders>
              <w:top w:val="none" w:color="auto" w:sz="0" w:space="0"/>
              <w:left w:val="none" w:color="auto" w:sz="0" w:space="0"/>
              <w:bottom w:val="none" w:color="auto" w:sz="0" w:space="0"/>
              <w:right w:val="none" w:color="auto" w:sz="0" w:space="0"/>
            </w:tcBorders>
            <w:shd w:fill="F4F4F1" w:color="auto" w:val="clear"/>
            <w:tcMar>
              <w:top w:type="dxa" w:w="140"/>
              <w:left w:type="dxa" w:w="160"/>
              <w:bottom w:type="dxa" w:w="140"/>
              <w:right w:type="dxa" w:w="160"/>
            </w:tcMar>
          </w:tcPr>
          <w:p>
            <w:pPr>
              <w:spacing w:after="0" w:before="0" w:line="250" w:lineRule="auto"/>
            </w:pPr>
            <w:r>
              <w:rPr>
                <w:rFonts w:ascii="Geist Mono" w:cs="Geist Mono" w:eastAsia="Geist Mono" w:hAnsi="Geist Mono"/>
                <w:color w:val="16181A"/>
                <w:sz w:val="15"/>
                <w:szCs w:val="15"/>
              </w:rPr>
              <w:t xml:space="preserve">4  ·  8  ·  12  ·  16  ·  20  ·  24  ·  32  ·  40  ·  48  ·  64  ·  80  ·  96  ·  128  ·  160   (px)</w:t>
            </w:r>
          </w:p>
        </w:tc>
      </w:tr>
    </w:tbl>
    <w:p>
      <w:pPr>
        <w:spacing w:after="240" w:before="60" w:line="260" w:lineRule="auto"/>
      </w:pPr>
      <w:r>
        <w:rPr>
          <w:rFonts w:ascii="Plus Jakarta Sans" w:cs="Plus Jakarta Sans" w:eastAsia="Plus Jakarta Sans" w:hAnsi="Plus Jakarta Sans"/>
          <w:color w:val="53575B"/>
          <w:sz w:val="15"/>
          <w:szCs w:val="15"/>
        </w:rPr>
        <w:t xml:space="preserve">Section padding 96 px desktop / 56 px mobile. Content maximum 1200 px, gutter clamp(20px, 4vw, 48px). In print the same rhythm becomes multiples of 4 pt.</w:t>
      </w:r>
    </w:p>
    <w:p>
      <w:pPr>
        <w:pStyle w:val="Heading2"/>
        <w:keepNext/>
        <w:keepLines/>
        <w:spacing w:after="100" w:before="300" w:line="280" w:lineRule="auto"/>
      </w:pPr>
      <w:bookmarkStart w:name="_Toc9000026" w:id="26"/>
      <w:r>
        <w:rPr>
          <w:rFonts w:ascii="Plus Jakarta Sans SemiBold" w:cs="Plus Jakarta Sans SemiBold" w:eastAsia="Plus Jakarta Sans SemiBold" w:hAnsi="Plus Jakarta Sans SemiBold"/>
          <w:color w:val="16181A"/>
          <w:spacing w:val="-6"/>
          <w:sz w:val="25"/>
          <w:szCs w:val="25"/>
        </w:rPr>
        <w:t xml:space="preserve">Radii</w:t>
      </w:r>
      <w:bookmarkEnd w:id="26"/>
    </w:p>
    <w:tbl>
      <w:tblPr>
        <w:tblW w:type="dxa" w:w="9412"/>
        <w:tblBorders>
          <w:top w:val="single" w:color="E2E3E0" w:sz="6" w:space="1"/>
          <w:left w:val="none" w:color="auto" w:sz="0" w:space="0"/>
          <w:bottom w:val="single" w:color="E2E3E0" w:sz="6" w:space="1"/>
          <w:right w:val="none" w:color="auto" w:sz="0" w:space="0"/>
          <w:insideH w:val="single" w:color="E2E3E0" w:sz="4" w:space="1"/>
          <w:insideV w:val="none" w:color="auto" w:sz="0" w:space="0"/>
        </w:tblBorders>
        <w:tblLayout w:type="fixed"/>
      </w:tblPr>
      <w:tblGrid>
        <w:gridCol w:w="1700"/>
        <w:gridCol w:w="1300"/>
        <w:gridCol w:w="6412"/>
      </w:tblGrid>
      <w:tr>
        <w:trPr>
          <w:cantSplit/>
          <w:tblHeader/>
        </w:trPr>
        <w:tc>
          <w:tcPr>
            <w:tcW w:type="dxa" w:w="170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Token</w:t>
            </w:r>
          </w:p>
        </w:tc>
        <w:tc>
          <w:tcPr>
            <w:tcW w:type="dxa" w:w="130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jc w:val="right"/>
            </w:pPr>
            <w:r>
              <w:rPr>
                <w:rFonts w:ascii="Plus Jakarta Sans SemiBold" w:cs="Plus Jakarta Sans SemiBold" w:eastAsia="Plus Jakarta Sans SemiBold" w:hAnsi="Plus Jakarta Sans SemiBold"/>
                <w:color w:val="16181A"/>
                <w:sz w:val="16"/>
                <w:szCs w:val="16"/>
              </w:rPr>
              <w:t xml:space="preserve">Value</w:t>
            </w:r>
          </w:p>
        </w:tc>
        <w:tc>
          <w:tcPr>
            <w:tcW w:type="dxa" w:w="6412"/>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Use</w:t>
            </w:r>
          </w:p>
        </w:tc>
      </w:tr>
      <w:tr>
        <w:trPr>
          <w:cantSplit/>
        </w:trPr>
        <w:tc>
          <w:tcPr>
            <w:tcW w:type="dxa" w:w="1700"/>
            <w:tcMar>
              <w:top w:type="dxa" w:w="70"/>
              <w:left w:type="dxa" w:w="90"/>
              <w:bottom w:type="dxa" w:w="70"/>
              <w:right w:type="dxa" w:w="90"/>
            </w:tcMar>
            <w:vAlign w:val="center"/>
          </w:tcPr>
          <w:p>
            <w:pPr>
              <w:spacing w:after="0" w:before="0" w:line="250" w:lineRule="auto"/>
            </w:pPr>
            <w:r>
              <w:rPr>
                <w:rFonts w:ascii="Geist Mono" w:cs="Geist Mono" w:eastAsia="Geist Mono" w:hAnsi="Geist Mono"/>
                <w:b/>
                <w:bCs/>
                <w:color w:val="16181A"/>
                <w:sz w:val="16"/>
                <w:szCs w:val="16"/>
              </w:rPr>
              <w:t xml:space="preserve">--bl-r-xs</w:t>
            </w:r>
          </w:p>
        </w:tc>
        <w:tc>
          <w:tcPr>
            <w:tcW w:type="dxa" w:w="130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6 px</w:t>
            </w:r>
          </w:p>
        </w:tc>
        <w:tc>
          <w:tcPr>
            <w:tcW w:type="dxa" w:w="64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Chips inside dense tables, tags.</w:t>
            </w:r>
          </w:p>
        </w:tc>
      </w:tr>
      <w:tr>
        <w:trPr>
          <w:cantSplit/>
        </w:trPr>
        <w:tc>
          <w:tcPr>
            <w:tcW w:type="dxa" w:w="1700"/>
            <w:tcMar>
              <w:top w:type="dxa" w:w="70"/>
              <w:left w:type="dxa" w:w="90"/>
              <w:bottom w:type="dxa" w:w="70"/>
              <w:right w:type="dxa" w:w="90"/>
            </w:tcMar>
            <w:vAlign w:val="center"/>
          </w:tcPr>
          <w:p>
            <w:pPr>
              <w:spacing w:after="0" w:before="0" w:line="250" w:lineRule="auto"/>
            </w:pPr>
            <w:r>
              <w:rPr>
                <w:rFonts w:ascii="Geist Mono" w:cs="Geist Mono" w:eastAsia="Geist Mono" w:hAnsi="Geist Mono"/>
                <w:b/>
                <w:bCs/>
                <w:color w:val="16181A"/>
                <w:sz w:val="16"/>
                <w:szCs w:val="16"/>
              </w:rPr>
              <w:t xml:space="preserve">--bl-r-sm</w:t>
            </w:r>
          </w:p>
        </w:tc>
        <w:tc>
          <w:tcPr>
            <w:tcW w:type="dxa" w:w="130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10 px</w:t>
            </w:r>
          </w:p>
        </w:tc>
        <w:tc>
          <w:tcPr>
            <w:tcW w:type="dxa" w:w="64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Small controls, tooltips.</w:t>
            </w:r>
          </w:p>
        </w:tc>
      </w:tr>
      <w:tr>
        <w:trPr>
          <w:cantSplit/>
        </w:trPr>
        <w:tc>
          <w:tcPr>
            <w:tcW w:type="dxa" w:w="1700"/>
            <w:tcMar>
              <w:top w:type="dxa" w:w="70"/>
              <w:left w:type="dxa" w:w="90"/>
              <w:bottom w:type="dxa" w:w="70"/>
              <w:right w:type="dxa" w:w="90"/>
            </w:tcMar>
            <w:vAlign w:val="center"/>
          </w:tcPr>
          <w:p>
            <w:pPr>
              <w:spacing w:after="0" w:before="0" w:line="250" w:lineRule="auto"/>
            </w:pPr>
            <w:r>
              <w:rPr>
                <w:rFonts w:ascii="Geist Mono" w:cs="Geist Mono" w:eastAsia="Geist Mono" w:hAnsi="Geist Mono"/>
                <w:b/>
                <w:bCs/>
                <w:color w:val="16181A"/>
                <w:sz w:val="16"/>
                <w:szCs w:val="16"/>
              </w:rPr>
              <w:t xml:space="preserve">--bl-r-md</w:t>
            </w:r>
          </w:p>
        </w:tc>
        <w:tc>
          <w:tcPr>
            <w:tcW w:type="dxa" w:w="130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12 px</w:t>
            </w:r>
          </w:p>
        </w:tc>
        <w:tc>
          <w:tcPr>
            <w:tcW w:type="dxa" w:w="64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Inputs, selects, textareas.</w:t>
            </w:r>
          </w:p>
        </w:tc>
      </w:tr>
      <w:tr>
        <w:trPr>
          <w:cantSplit/>
        </w:trPr>
        <w:tc>
          <w:tcPr>
            <w:tcW w:type="dxa" w:w="1700"/>
            <w:tcMar>
              <w:top w:type="dxa" w:w="70"/>
              <w:left w:type="dxa" w:w="90"/>
              <w:bottom w:type="dxa" w:w="70"/>
              <w:right w:type="dxa" w:w="90"/>
            </w:tcMar>
            <w:vAlign w:val="center"/>
          </w:tcPr>
          <w:p>
            <w:pPr>
              <w:spacing w:after="0" w:before="0" w:line="250" w:lineRule="auto"/>
            </w:pPr>
            <w:r>
              <w:rPr>
                <w:rFonts w:ascii="Geist Mono" w:cs="Geist Mono" w:eastAsia="Geist Mono" w:hAnsi="Geist Mono"/>
                <w:b/>
                <w:bCs/>
                <w:color w:val="16181A"/>
                <w:sz w:val="16"/>
                <w:szCs w:val="16"/>
              </w:rPr>
              <w:t xml:space="preserve">--bl-r-lg</w:t>
            </w:r>
          </w:p>
        </w:tc>
        <w:tc>
          <w:tcPr>
            <w:tcW w:type="dxa" w:w="130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18 px</w:t>
            </w:r>
          </w:p>
        </w:tc>
        <w:tc>
          <w:tcPr>
            <w:tcW w:type="dxa" w:w="64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Cards, panels, dialogs.</w:t>
            </w:r>
          </w:p>
        </w:tc>
      </w:tr>
      <w:tr>
        <w:trPr>
          <w:cantSplit/>
        </w:trPr>
        <w:tc>
          <w:tcPr>
            <w:tcW w:type="dxa" w:w="1700"/>
            <w:tcMar>
              <w:top w:type="dxa" w:w="70"/>
              <w:left w:type="dxa" w:w="90"/>
              <w:bottom w:type="dxa" w:w="70"/>
              <w:right w:type="dxa" w:w="90"/>
            </w:tcMar>
            <w:vAlign w:val="center"/>
          </w:tcPr>
          <w:p>
            <w:pPr>
              <w:spacing w:after="0" w:before="0" w:line="250" w:lineRule="auto"/>
            </w:pPr>
            <w:r>
              <w:rPr>
                <w:rFonts w:ascii="Geist Mono" w:cs="Geist Mono" w:eastAsia="Geist Mono" w:hAnsi="Geist Mono"/>
                <w:b/>
                <w:bCs/>
                <w:color w:val="16181A"/>
                <w:sz w:val="16"/>
                <w:szCs w:val="16"/>
              </w:rPr>
              <w:t xml:space="preserve">--bl-r-xl</w:t>
            </w:r>
          </w:p>
        </w:tc>
        <w:tc>
          <w:tcPr>
            <w:tcW w:type="dxa" w:w="130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24 px</w:t>
            </w:r>
          </w:p>
        </w:tc>
        <w:tc>
          <w:tcPr>
            <w:tcW w:type="dxa" w:w="64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Hero panels, the product mock.</w:t>
            </w:r>
          </w:p>
        </w:tc>
      </w:tr>
      <w:tr>
        <w:trPr>
          <w:cantSplit/>
        </w:trPr>
        <w:tc>
          <w:tcPr>
            <w:tcW w:type="dxa" w:w="1700"/>
            <w:tcMar>
              <w:top w:type="dxa" w:w="70"/>
              <w:left w:type="dxa" w:w="90"/>
              <w:bottom w:type="dxa" w:w="70"/>
              <w:right w:type="dxa" w:w="90"/>
            </w:tcMar>
            <w:vAlign w:val="center"/>
          </w:tcPr>
          <w:p>
            <w:pPr>
              <w:spacing w:after="0" w:before="0" w:line="250" w:lineRule="auto"/>
            </w:pPr>
            <w:r>
              <w:rPr>
                <w:rFonts w:ascii="Geist Mono" w:cs="Geist Mono" w:eastAsia="Geist Mono" w:hAnsi="Geist Mono"/>
                <w:b/>
                <w:bCs/>
                <w:color w:val="16181A"/>
                <w:sz w:val="16"/>
                <w:szCs w:val="16"/>
              </w:rPr>
              <w:t xml:space="preserve">--bl-r-pill</w:t>
            </w:r>
          </w:p>
        </w:tc>
        <w:tc>
          <w:tcPr>
            <w:tcW w:type="dxa" w:w="1300"/>
            <w:tcMar>
              <w:top w:type="dxa" w:w="70"/>
              <w:left w:type="dxa" w:w="90"/>
              <w:bottom w:type="dxa" w:w="70"/>
              <w:right w:type="dxa" w:w="90"/>
            </w:tcMar>
            <w:vAlign w:val="center"/>
          </w:tcPr>
          <w:p>
            <w:pPr>
              <w:spacing w:after="0" w:before="0" w:line="250" w:lineRule="auto"/>
              <w:jc w:val="right"/>
            </w:pPr>
            <w:r>
              <w:rPr>
                <w:rFonts w:ascii="Geist Mono" w:cs="Geist Mono" w:eastAsia="Geist Mono" w:hAnsi="Geist Mono"/>
                <w:color w:val="16181A"/>
                <w:sz w:val="16"/>
                <w:szCs w:val="16"/>
              </w:rPr>
              <w:t xml:space="preserve">999 px</w:t>
            </w:r>
          </w:p>
        </w:tc>
        <w:tc>
          <w:tcPr>
            <w:tcW w:type="dxa" w:w="64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Buttons, chips, badges, the nav.</w:t>
            </w:r>
          </w:p>
        </w:tc>
      </w:tr>
    </w:tbl>
    <w:p>
      <w:pPr>
        <w:spacing w:after="240" w:before="60" w:line="260" w:lineRule="auto"/>
      </w:pPr>
      <w:r>
        <w:rPr>
          <w:rFonts w:ascii="Plus Jakarta Sans" w:cs="Plus Jakarta Sans" w:eastAsia="Plus Jakarta Sans" w:hAnsi="Plus Jakarta Sans"/>
          <w:color w:val="53575B"/>
          <w:sz w:val="15"/>
          <w:szCs w:val="15"/>
        </w:rPr>
        <w:t xml:space="preserve">Print uses none. A rounded card printed on A4 reads as a screenshot, not a document.</w:t>
      </w:r>
    </w:p>
    <w:p>
      <w:pPr>
        <w:pStyle w:val="Heading2"/>
        <w:keepNext/>
        <w:keepLines/>
        <w:spacing w:after="100" w:before="300" w:line="280" w:lineRule="auto"/>
      </w:pPr>
      <w:bookmarkStart w:name="_Toc9000027" w:id="27"/>
      <w:r>
        <w:rPr>
          <w:rFonts w:ascii="Plus Jakarta Sans SemiBold" w:cs="Plus Jakarta Sans SemiBold" w:eastAsia="Plus Jakarta Sans SemiBold" w:hAnsi="Plus Jakarta Sans SemiBold"/>
          <w:color w:val="16181A"/>
          <w:spacing w:val="-6"/>
          <w:sz w:val="25"/>
          <w:szCs w:val="25"/>
        </w:rPr>
        <w:t xml:space="preserve">Rules, not boxes</w:t>
      </w:r>
      <w:bookmarkEnd w:id="27"/>
    </w:p>
    <w:p>
      <w:pPr>
        <w:spacing w:after="160" w:before="0" w:line="300" w:lineRule="auto"/>
      </w:pPr>
      <w:r>
        <w:rPr>
          <w:rFonts w:ascii="Plus Jakarta Sans" w:cs="Plus Jakarta Sans" w:eastAsia="Plus Jakarta Sans" w:hAnsi="Plus Jakarta Sans"/>
          <w:color w:val="53575B"/>
          <w:sz w:val="18"/>
          <w:szCs w:val="18"/>
        </w:rPr>
        <w:t xml:space="preserve">Sections are separated by a 1 px </w:t>
      </w:r>
      <w:r>
        <w:rPr>
          <w:rFonts w:ascii="Geist Mono" w:cs="Geist Mono" w:eastAsia="Geist Mono" w:hAnsi="Geist Mono"/>
          <w:color w:val="16181A"/>
          <w:sz w:val="16"/>
          <w:szCs w:val="16"/>
        </w:rPr>
        <w:t xml:space="preserve">--bl-line</w:t>
      </w:r>
      <w:r>
        <w:rPr>
          <w:rFonts w:ascii="Plus Jakarta Sans" w:cs="Plus Jakarta Sans" w:eastAsia="Plus Jakarta Sans" w:hAnsi="Plus Jakarta Sans"/>
          <w:color w:val="53575B"/>
          <w:sz w:val="18"/>
          <w:szCs w:val="18"/>
        </w:rPr>
        <w:t xml:space="preserve"> rule and space — never a 2 px border, never a shadow. Elevation’s three steps are reserved for things that genuinely float: menus, dialogs, the product mock, a toast.</w:t>
      </w:r>
    </w:p>
    <w:tbl>
      <w:tblPr>
        <w:tblW w:type="dxa" w:w="9412"/>
        <w:tblBorders>
          <w:top w:val="single" w:color="E2E3E0" w:sz="6" w:space="1"/>
          <w:left w:val="none" w:color="auto" w:sz="0" w:space="0"/>
          <w:bottom w:val="single" w:color="E2E3E0" w:sz="6" w:space="1"/>
          <w:right w:val="none" w:color="auto" w:sz="0" w:space="0"/>
          <w:insideH w:val="single" w:color="E2E3E0" w:sz="4" w:space="1"/>
          <w:insideV w:val="none" w:color="auto" w:sz="0" w:space="0"/>
        </w:tblBorders>
        <w:tblLayout w:type="fixed"/>
      </w:tblPr>
      <w:tblGrid>
        <w:gridCol w:w="1650"/>
        <w:gridCol w:w="2600"/>
        <w:gridCol w:w="2300"/>
        <w:gridCol w:w="2862"/>
      </w:tblGrid>
      <w:tr>
        <w:trPr>
          <w:cantSplit/>
          <w:tblHeader/>
        </w:trPr>
        <w:tc>
          <w:tcPr>
            <w:tcW w:type="dxa" w:w="165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Level</w:t>
            </w:r>
          </w:p>
        </w:tc>
        <w:tc>
          <w:tcPr>
            <w:tcW w:type="dxa" w:w="260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Light</w:t>
            </w:r>
          </w:p>
        </w:tc>
        <w:tc>
          <w:tcPr>
            <w:tcW w:type="dxa" w:w="230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Dark</w:t>
            </w:r>
          </w:p>
        </w:tc>
        <w:tc>
          <w:tcPr>
            <w:tcW w:type="dxa" w:w="2862"/>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Use</w:t>
            </w:r>
          </w:p>
        </w:tc>
      </w:tr>
      <w:tr>
        <w:trPr>
          <w:cantSplit/>
        </w:trPr>
        <w:tc>
          <w:tcPr>
            <w:tcW w:type="dxa" w:w="1650"/>
            <w:tcMar>
              <w:top w:type="dxa" w:w="70"/>
              <w:left w:type="dxa" w:w="90"/>
              <w:bottom w:type="dxa" w:w="70"/>
              <w:right w:type="dxa" w:w="90"/>
            </w:tcMar>
            <w:vAlign w:val="center"/>
          </w:tcPr>
          <w:p>
            <w:pPr>
              <w:spacing w:after="0" w:before="0" w:line="250" w:lineRule="auto"/>
            </w:pPr>
            <w:r>
              <w:rPr>
                <w:rFonts w:ascii="Geist Mono" w:cs="Geist Mono" w:eastAsia="Geist Mono" w:hAnsi="Geist Mono"/>
                <w:b/>
                <w:bCs/>
                <w:color w:val="16181A"/>
                <w:sz w:val="15"/>
                <w:szCs w:val="15"/>
              </w:rPr>
              <w:t xml:space="preserve">--bl-shadow-1</w:t>
            </w:r>
          </w:p>
        </w:tc>
        <w:tc>
          <w:tcPr>
            <w:tcW w:type="dxa" w:w="26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53575B"/>
                <w:sz w:val="12"/>
                <w:szCs w:val="12"/>
              </w:rPr>
              <w:t xml:space="preserve">0 1px 2px rgba(20,22,24,0.06)</w:t>
            </w:r>
          </w:p>
        </w:tc>
        <w:tc>
          <w:tcPr>
            <w:tcW w:type="dxa" w:w="23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53575B"/>
                <w:sz w:val="12"/>
                <w:szCs w:val="12"/>
              </w:rPr>
              <w:t xml:space="preserve">0 1px 2px rgba(0,0,0,0.5)</w:t>
            </w:r>
          </w:p>
        </w:tc>
        <w:tc>
          <w:tcPr>
            <w:tcW w:type="dxa" w:w="286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Resting card lift. Rarely needed.</w:t>
            </w:r>
          </w:p>
        </w:tc>
      </w:tr>
      <w:tr>
        <w:trPr>
          <w:cantSplit/>
        </w:trPr>
        <w:tc>
          <w:tcPr>
            <w:tcW w:type="dxa" w:w="1650"/>
            <w:tcMar>
              <w:top w:type="dxa" w:w="70"/>
              <w:left w:type="dxa" w:w="90"/>
              <w:bottom w:type="dxa" w:w="70"/>
              <w:right w:type="dxa" w:w="90"/>
            </w:tcMar>
            <w:vAlign w:val="center"/>
          </w:tcPr>
          <w:p>
            <w:pPr>
              <w:spacing w:after="0" w:before="0" w:line="250" w:lineRule="auto"/>
            </w:pPr>
            <w:r>
              <w:rPr>
                <w:rFonts w:ascii="Geist Mono" w:cs="Geist Mono" w:eastAsia="Geist Mono" w:hAnsi="Geist Mono"/>
                <w:b/>
                <w:bCs/>
                <w:color w:val="16181A"/>
                <w:sz w:val="15"/>
                <w:szCs w:val="15"/>
              </w:rPr>
              <w:t xml:space="preserve">--bl-shadow-2</w:t>
            </w:r>
          </w:p>
        </w:tc>
        <w:tc>
          <w:tcPr>
            <w:tcW w:type="dxa" w:w="26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53575B"/>
                <w:sz w:val="12"/>
                <w:szCs w:val="12"/>
              </w:rPr>
              <w:t xml:space="preserve">0 6px 18px -8px rgba(20,22,24,0.18)</w:t>
            </w:r>
          </w:p>
        </w:tc>
        <w:tc>
          <w:tcPr>
            <w:tcW w:type="dxa" w:w="23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53575B"/>
                <w:sz w:val="12"/>
                <w:szCs w:val="12"/>
              </w:rPr>
              <w:t xml:space="preserve">0 8px 24px -10px rgba(0,0,0,0.7)</w:t>
            </w:r>
          </w:p>
        </w:tc>
        <w:tc>
          <w:tcPr>
            <w:tcW w:type="dxa" w:w="286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Menus, popovers, toasts.</w:t>
            </w:r>
          </w:p>
        </w:tc>
      </w:tr>
      <w:tr>
        <w:trPr>
          <w:cantSplit/>
        </w:trPr>
        <w:tc>
          <w:tcPr>
            <w:tcW w:type="dxa" w:w="1650"/>
            <w:tcMar>
              <w:top w:type="dxa" w:w="70"/>
              <w:left w:type="dxa" w:w="90"/>
              <w:bottom w:type="dxa" w:w="70"/>
              <w:right w:type="dxa" w:w="90"/>
            </w:tcMar>
            <w:vAlign w:val="center"/>
          </w:tcPr>
          <w:p>
            <w:pPr>
              <w:spacing w:after="0" w:before="0" w:line="250" w:lineRule="auto"/>
            </w:pPr>
            <w:r>
              <w:rPr>
                <w:rFonts w:ascii="Geist Mono" w:cs="Geist Mono" w:eastAsia="Geist Mono" w:hAnsi="Geist Mono"/>
                <w:b/>
                <w:bCs/>
                <w:color w:val="16181A"/>
                <w:sz w:val="15"/>
                <w:szCs w:val="15"/>
              </w:rPr>
              <w:t xml:space="preserve">--bl-shadow-3</w:t>
            </w:r>
          </w:p>
        </w:tc>
        <w:tc>
          <w:tcPr>
            <w:tcW w:type="dxa" w:w="26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53575B"/>
                <w:sz w:val="12"/>
                <w:szCs w:val="12"/>
              </w:rPr>
              <w:t xml:space="preserve">0 30px 70px -28px rgba(20,22,24,0.35)</w:t>
            </w:r>
          </w:p>
        </w:tc>
        <w:tc>
          <w:tcPr>
            <w:tcW w:type="dxa" w:w="23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53575B"/>
                <w:sz w:val="12"/>
                <w:szCs w:val="12"/>
              </w:rPr>
              <w:t xml:space="preserve">0 34px 80px -30px rgba(0,0,0,0.85)</w:t>
            </w:r>
          </w:p>
        </w:tc>
        <w:tc>
          <w:tcPr>
            <w:tcW w:type="dxa" w:w="286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Dialogs and the product mock only.</w:t>
            </w:r>
          </w:p>
        </w:tc>
      </w:tr>
    </w:tbl>
    <w:p>
      <w:pPr>
        <w:spacing w:after="240" w:before="60" w:line="260" w:lineRule="auto"/>
      </w:pPr>
      <w:r>
        <w:rPr>
          <w:rFonts w:ascii="Plus Jakarta Sans" w:cs="Plus Jakarta Sans" w:eastAsia="Plus Jakarta Sans" w:hAnsi="Plus Jakarta Sans"/>
          <w:color w:val="53575B"/>
          <w:sz w:val="15"/>
          <w:szCs w:val="15"/>
        </w:rPr>
        <w:t xml:space="preserve">Print uses none of the three. On paper, depth comes from the hairline and the space around it.</w:t>
      </w:r>
    </w:p>
    <w:p>
      <w:pPr>
        <w:pStyle w:val="Heading1"/>
        <w:keepNext/>
        <w:pageBreakBefore/>
        <w:spacing w:after="60" w:before="0" w:line="320" w:lineRule="auto"/>
      </w:pPr>
      <w:bookmarkStart w:name="_Toc9000028" w:id="28"/>
      <w:r>
        <w:rPr>
          <w:rFonts w:ascii="Geist Mono" w:cs="Geist Mono" w:eastAsia="Geist Mono" w:hAnsi="Geist Mono"/>
          <w:b/>
          <w:bCs/>
          <w:color w:val="8E2222"/>
          <w:spacing w:val="-8"/>
          <w:sz w:val="44"/>
          <w:szCs w:val="44"/>
        </w:rPr>
        <w:t xml:space="preserve">07</w:t>
      </w:r>
      <w:r>
        <w:rPr>
          <w:rFonts w:ascii="Plus Jakarta Sans" w:cs="Plus Jakarta Sans" w:eastAsia="Plus Jakarta Sans" w:hAnsi="Plus Jakarta Sans"/>
          <w:color w:val="16181A"/>
          <w:sz w:val="44"/>
          <w:szCs w:val="44"/>
        </w:rPr>
        <w:t xml:space="preserve">  </w:t>
      </w:r>
      <w:r>
        <w:rPr>
          <w:rFonts w:ascii="Plus Jakarta Sans ExtraBold" w:cs="Plus Jakarta Sans ExtraBold" w:eastAsia="Plus Jakarta Sans ExtraBold" w:hAnsi="Plus Jakarta Sans ExtraBold"/>
          <w:color w:val="16181A"/>
          <w:spacing w:val="-26"/>
          <w:sz w:val="44"/>
          <w:szCs w:val="44"/>
        </w:rPr>
        <w:t xml:space="preserve">Components</w:t>
      </w:r>
      <w:bookmarkEnd w:id="28"/>
    </w:p>
    <w:p>
      <w:pPr>
        <w:pBdr>
          <w:bottom w:val="single" w:color="E2E3E0" w:sz="6" w:space="1"/>
        </w:pBdr>
        <w:spacing w:after="200" w:before="40" w:line="40" w:lineRule="exact"/>
      </w:pPr>
      <w:r>
        <w:rPr>
          <w:rFonts w:ascii="Plus Jakarta Sans" w:cs="Plus Jakarta Sans" w:eastAsia="Plus Jakarta Sans" w:hAnsi="Plus Jakarta Sans"/>
          <w:color w:val="16181A"/>
          <w:sz w:val="2"/>
          <w:szCs w:val="2"/>
        </w:rPr>
        <w:t xml:space="preserve"/>
      </w:r>
    </w:p>
    <w:p>
      <w:pPr>
        <w:spacing w:after="280" w:before="0" w:line="330" w:lineRule="auto"/>
      </w:pPr>
      <w:r>
        <w:rPr>
          <w:rFonts w:ascii="Plus Jakarta Sans" w:cs="Plus Jakarta Sans" w:eastAsia="Plus Jakarta Sans" w:hAnsi="Plus Jakarta Sans"/>
          <w:color w:val="53575B"/>
          <w:spacing w:val="-1"/>
          <w:sz w:val="22"/>
          <w:szCs w:val="22"/>
        </w:rPr>
        <w:t xml:space="preserve">A small kit. If something is not here, build it from the tokens rather than inventing a value.</w:t>
      </w:r>
    </w:p>
    <w:p>
      <w:pPr>
        <w:pStyle w:val="Heading2"/>
        <w:keepNext/>
        <w:keepLines/>
        <w:spacing w:after="100" w:before="0" w:line="280" w:lineRule="auto"/>
      </w:pPr>
      <w:bookmarkStart w:name="_Toc9000029" w:id="29"/>
      <w:r>
        <w:rPr>
          <w:rFonts w:ascii="Plus Jakarta Sans SemiBold" w:cs="Plus Jakarta Sans SemiBold" w:eastAsia="Plus Jakarta Sans SemiBold" w:hAnsi="Plus Jakarta Sans SemiBold"/>
          <w:color w:val="16181A"/>
          <w:spacing w:val="-6"/>
          <w:sz w:val="25"/>
          <w:szCs w:val="25"/>
        </w:rPr>
        <w:t xml:space="preserve">Buttons</w:t>
      </w:r>
      <w:bookmarkEnd w:id="29"/>
    </w:p>
    <w:tbl>
      <w:tblPr>
        <w:tblW w:type="dxa" w:w="9412"/>
        <w:tblBorders>
          <w:top w:val="single" w:color="E2E3E0" w:sz="6" w:space="1"/>
          <w:left w:val="none" w:color="auto" w:sz="0" w:space="0"/>
          <w:bottom w:val="single" w:color="E2E3E0" w:sz="6" w:space="1"/>
          <w:right w:val="none" w:color="auto" w:sz="0" w:space="0"/>
          <w:insideH w:val="single" w:color="E2E3E0" w:sz="4" w:space="1"/>
          <w:insideV w:val="none" w:color="auto" w:sz="0" w:space="0"/>
        </w:tblBorders>
        <w:tblLayout w:type="fixed"/>
      </w:tblPr>
      <w:tblGrid>
        <w:gridCol w:w="1600"/>
        <w:gridCol w:w="1550"/>
        <w:gridCol w:w="1400"/>
        <w:gridCol w:w="1250"/>
        <w:gridCol w:w="3612"/>
      </w:tblGrid>
      <w:tr>
        <w:trPr>
          <w:cantSplit/>
          <w:tblHeader/>
        </w:trPr>
        <w:tc>
          <w:tcPr>
            <w:tcW w:type="dxa" w:w="160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Variant</w:t>
            </w:r>
          </w:p>
        </w:tc>
        <w:tc>
          <w:tcPr>
            <w:tcW w:type="dxa" w:w="155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Fill</w:t>
            </w:r>
          </w:p>
        </w:tc>
        <w:tc>
          <w:tcPr>
            <w:tcW w:type="dxa" w:w="140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Text</w:t>
            </w:r>
          </w:p>
        </w:tc>
        <w:tc>
          <w:tcPr>
            <w:tcW w:type="dxa" w:w="125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Border</w:t>
            </w:r>
          </w:p>
        </w:tc>
        <w:tc>
          <w:tcPr>
            <w:tcW w:type="dxa" w:w="3612"/>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Rule</w:t>
            </w:r>
          </w:p>
        </w:tc>
      </w:tr>
      <w:tr>
        <w:trPr>
          <w:cantSplit/>
        </w:trPr>
        <w:tc>
          <w:tcPr>
            <w:tcW w:type="dxa" w:w="1600"/>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7"/>
                <w:szCs w:val="17"/>
              </w:rPr>
              <w:t xml:space="preserve">Primary</w:t>
            </w:r>
          </w:p>
        </w:tc>
        <w:tc>
          <w:tcPr>
            <w:tcW w:type="dxa" w:w="155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#8E2222</w:t>
            </w:r>
          </w:p>
        </w:tc>
        <w:tc>
          <w:tcPr>
            <w:tcW w:type="dxa" w:w="14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#FFFFFF</w:t>
            </w:r>
          </w:p>
        </w:tc>
        <w:tc>
          <w:tcPr>
            <w:tcW w:type="dxa" w:w="125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w:t>
            </w:r>
          </w:p>
        </w:tc>
        <w:tc>
          <w:tcPr>
            <w:tcW w:type="dxa" w:w="36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One per view. Hover goes to #6B1112.</w:t>
            </w:r>
          </w:p>
        </w:tc>
      </w:tr>
      <w:tr>
        <w:trPr>
          <w:cantSplit/>
        </w:trPr>
        <w:tc>
          <w:tcPr>
            <w:tcW w:type="dxa" w:w="1600"/>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7"/>
                <w:szCs w:val="17"/>
              </w:rPr>
              <w:t xml:space="preserve">Secondary</w:t>
            </w:r>
          </w:p>
        </w:tc>
        <w:tc>
          <w:tcPr>
            <w:tcW w:type="dxa" w:w="155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transparent</w:t>
            </w:r>
          </w:p>
        </w:tc>
        <w:tc>
          <w:tcPr>
            <w:tcW w:type="dxa" w:w="14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#16181A</w:t>
            </w:r>
          </w:p>
        </w:tc>
        <w:tc>
          <w:tcPr>
            <w:tcW w:type="dxa" w:w="125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#C5C9CD</w:t>
            </w:r>
          </w:p>
        </w:tc>
        <w:tc>
          <w:tcPr>
            <w:tcW w:type="dxa" w:w="36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Any number. Hover darkens the border only.</w:t>
            </w:r>
          </w:p>
        </w:tc>
      </w:tr>
      <w:tr>
        <w:trPr>
          <w:cantSplit/>
        </w:trPr>
        <w:tc>
          <w:tcPr>
            <w:tcW w:type="dxa" w:w="1600"/>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7"/>
                <w:szCs w:val="17"/>
              </w:rPr>
              <w:t xml:space="preserve">Quiet</w:t>
            </w:r>
          </w:p>
        </w:tc>
        <w:tc>
          <w:tcPr>
            <w:tcW w:type="dxa" w:w="155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transparent</w:t>
            </w:r>
          </w:p>
        </w:tc>
        <w:tc>
          <w:tcPr>
            <w:tcW w:type="dxa" w:w="14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#53575B</w:t>
            </w:r>
          </w:p>
        </w:tc>
        <w:tc>
          <w:tcPr>
            <w:tcW w:type="dxa" w:w="125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w:t>
            </w:r>
          </w:p>
        </w:tc>
        <w:tc>
          <w:tcPr>
            <w:tcW w:type="dxa" w:w="36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Cancel, dismiss, tertiary navigation.</w:t>
            </w:r>
          </w:p>
        </w:tc>
      </w:tr>
    </w:tbl>
    <w:p>
      <w:pPr>
        <w:spacing w:after="240" w:before="60" w:line="260" w:lineRule="auto"/>
      </w:pPr>
      <w:r>
        <w:rPr>
          <w:rFonts w:ascii="Plus Jakarta Sans" w:cs="Plus Jakarta Sans" w:eastAsia="Plus Jakarta Sans" w:hAnsi="Plus Jakarta Sans"/>
          <w:color w:val="53575B"/>
          <w:sz w:val="15"/>
          <w:szCs w:val="15"/>
        </w:rPr>
        <w:t xml:space="preserve">Pill radius, 13 px vertical padding, 600 weight, no shadow. The focus ring is Stahl (#286CBE light / #5FA4FC dark) — never red, so focus can never be mistaken for an error.</w:t>
      </w:r>
    </w:p>
    <w:p>
      <w:pPr>
        <w:pStyle w:val="Heading2"/>
        <w:keepNext/>
        <w:keepLines/>
        <w:spacing w:after="100" w:before="300" w:line="280" w:lineRule="auto"/>
      </w:pPr>
      <w:bookmarkStart w:name="_Toc9000030" w:id="30"/>
      <w:r>
        <w:rPr>
          <w:rFonts w:ascii="Plus Jakarta Sans SemiBold" w:cs="Plus Jakarta Sans SemiBold" w:eastAsia="Plus Jakarta Sans SemiBold" w:hAnsi="Plus Jakarta Sans SemiBold"/>
          <w:color w:val="16181A"/>
          <w:spacing w:val="-6"/>
          <w:sz w:val="25"/>
          <w:szCs w:val="25"/>
        </w:rPr>
        <w:t xml:space="preserve">Module chips</w:t>
      </w:r>
      <w:bookmarkEnd w:id="30"/>
    </w:p>
    <w:p>
      <w:pPr>
        <w:spacing w:after="140" w:before="0" w:line="300" w:lineRule="auto"/>
      </w:pPr>
      <w:r>
        <w:rPr>
          <w:rFonts w:ascii="Plus Jakarta Sans" w:cs="Plus Jakarta Sans" w:eastAsia="Plus Jakarta Sans" w:hAnsi="Plus Jakarta Sans"/>
          <w:color w:val="53575B"/>
          <w:sz w:val="18"/>
          <w:szCs w:val="18"/>
        </w:rPr>
        <w:t xml:space="preserve">Mono, hairline outline, no fill. Product names keep their camel case with a capital X. Türkis is the reserve tint if a module ever needs its own colour.</w:t>
      </w:r>
    </w:p>
    <w:tbl>
      <w:tblPr>
        <w:tblW w:type="dxa" w:w="9412"/>
        <w:tblBorders>
          <w:top w:val="single" w:color="E2E3E0" w:sz="6" w:space="1"/>
          <w:left w:val="none" w:color="auto" w:sz="0" w:space="0"/>
          <w:bottom w:val="single" w:color="E2E3E0" w:sz="6" w:space="1"/>
          <w:right w:val="none" w:color="auto" w:sz="0" w:space="0"/>
          <w:insideH w:val="single" w:color="E2E3E0" w:sz="4" w:space="1"/>
          <w:insideV w:val="none" w:color="auto" w:sz="0" w:space="0"/>
        </w:tblBorders>
        <w:tblLayout w:type="fixed"/>
      </w:tblPr>
      <w:tblGrid>
        <w:gridCol w:w="1900"/>
        <w:gridCol w:w="7512"/>
      </w:tblGrid>
      <w:tr>
        <w:trPr>
          <w:cantSplit/>
          <w:tblHeader/>
        </w:trPr>
        <w:tc>
          <w:tcPr>
            <w:tcW w:type="dxa" w:w="190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Chip</w:t>
            </w:r>
          </w:p>
        </w:tc>
        <w:tc>
          <w:tcPr>
            <w:tcW w:type="dxa" w:w="7512"/>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Module</w:t>
            </w:r>
          </w:p>
        </w:tc>
      </w:tr>
      <w:tr>
        <w:trPr>
          <w:cantSplit/>
        </w:trPr>
        <w:tc>
          <w:tcPr>
            <w:tcW w:type="dxa" w:w="19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BidX</w:t>
            </w:r>
          </w:p>
        </w:tc>
        <w:tc>
          <w:tcPr>
            <w:tcW w:type="dxa" w:w="75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Ausschreibung</w:t>
            </w:r>
          </w:p>
        </w:tc>
      </w:tr>
      <w:tr>
        <w:trPr>
          <w:cantSplit/>
        </w:trPr>
        <w:tc>
          <w:tcPr>
            <w:tcW w:type="dxa" w:w="19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INRX</w:t>
            </w:r>
          </w:p>
        </w:tc>
        <w:tc>
          <w:tcPr>
            <w:tcW w:type="dxa" w:w="75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Rechnungen und Abrechnung</w:t>
            </w:r>
          </w:p>
        </w:tc>
      </w:tr>
      <w:tr>
        <w:trPr>
          <w:cantSplit/>
        </w:trPr>
        <w:tc>
          <w:tcPr>
            <w:tcW w:type="dxa" w:w="19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ReportsX</w:t>
            </w:r>
          </w:p>
        </w:tc>
        <w:tc>
          <w:tcPr>
            <w:tcW w:type="dxa" w:w="75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Berichte</w:t>
            </w:r>
          </w:p>
        </w:tc>
      </w:tr>
      <w:tr>
        <w:trPr>
          <w:cantSplit/>
        </w:trPr>
        <w:tc>
          <w:tcPr>
            <w:tcW w:type="dxa" w:w="19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FleetX</w:t>
            </w:r>
          </w:p>
        </w:tc>
        <w:tc>
          <w:tcPr>
            <w:tcW w:type="dxa" w:w="75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Geräte</w:t>
            </w:r>
          </w:p>
        </w:tc>
      </w:tr>
      <w:tr>
        <w:trPr>
          <w:cantSplit/>
        </w:trPr>
        <w:tc>
          <w:tcPr>
            <w:tcW w:type="dxa" w:w="19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CrewX</w:t>
            </w:r>
          </w:p>
        </w:tc>
        <w:tc>
          <w:tcPr>
            <w:tcW w:type="dxa" w:w="75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Personal</w:t>
            </w:r>
          </w:p>
        </w:tc>
      </w:tr>
    </w:tbl>
    <w:p>
      <w:pPr>
        <w:pStyle w:val="Heading2"/>
        <w:keepNext/>
        <w:keepLines/>
        <w:spacing w:after="100" w:before="300" w:line="280" w:lineRule="auto"/>
      </w:pPr>
      <w:bookmarkStart w:name="_Toc9000031" w:id="31"/>
      <w:r>
        <w:rPr>
          <w:rFonts w:ascii="Plus Jakarta Sans SemiBold" w:cs="Plus Jakarta Sans SemiBold" w:eastAsia="Plus Jakarta Sans SemiBold" w:hAnsi="Plus Jakarta Sans SemiBold"/>
          <w:color w:val="16181A"/>
          <w:spacing w:val="-6"/>
          <w:sz w:val="25"/>
          <w:szCs w:val="25"/>
        </w:rPr>
        <w:t xml:space="preserve">Status badges</w:t>
      </w:r>
      <w:bookmarkEnd w:id="31"/>
    </w:p>
    <w:p>
      <w:pPr>
        <w:spacing w:after="160" w:before="0" w:line="300" w:lineRule="auto"/>
      </w:pPr>
      <w:r>
        <w:rPr>
          <w:rFonts w:ascii="Plus Jakarta Sans" w:cs="Plus Jakarta Sans" w:eastAsia="Plus Jakarta Sans" w:hAnsi="Plus Jakarta Sans"/>
          <w:color w:val="53575B"/>
          <w:sz w:val="18"/>
          <w:szCs w:val="18"/>
        </w:rPr>
        <w:t xml:space="preserve">Tinted background at ramp step 50 / 100, text at step 600 / 700. The word is mandatory — the tint is a second signal, never the only one.</w:t>
      </w:r>
    </w:p>
    <w:tbl>
      <w:tblPr>
        <w:tblW w:type="dxa" w:w="9412"/>
        <w:tblBorders>
          <w:top w:val="single" w:color="E2E3E0" w:sz="6" w:space="1"/>
          <w:left w:val="none" w:color="auto" w:sz="0" w:space="0"/>
          <w:bottom w:val="single" w:color="E2E3E0" w:sz="6" w:space="1"/>
          <w:right w:val="none" w:color="auto" w:sz="0" w:space="0"/>
          <w:insideH w:val="single" w:color="E2E3E0" w:sz="4" w:space="1"/>
          <w:insideV w:val="none" w:color="auto" w:sz="0" w:space="0"/>
        </w:tblBorders>
        <w:tblLayout w:type="fixed"/>
      </w:tblPr>
      <w:tblGrid>
        <w:gridCol w:w="2000"/>
        <w:gridCol w:w="1700"/>
        <w:gridCol w:w="1400"/>
        <w:gridCol w:w="4312"/>
      </w:tblGrid>
      <w:tr>
        <w:trPr>
          <w:cantSplit/>
          <w:tblHeader/>
        </w:trPr>
        <w:tc>
          <w:tcPr>
            <w:tcW w:type="dxa" w:w="200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Badge</w:t>
            </w:r>
          </w:p>
        </w:tc>
        <w:tc>
          <w:tcPr>
            <w:tcW w:type="dxa" w:w="170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Background</w:t>
            </w:r>
          </w:p>
        </w:tc>
        <w:tc>
          <w:tcPr>
            <w:tcW w:type="dxa" w:w="140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Text</w:t>
            </w:r>
          </w:p>
        </w:tc>
        <w:tc>
          <w:tcPr>
            <w:tcW w:type="dxa" w:w="4312"/>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When</w:t>
            </w:r>
          </w:p>
        </w:tc>
      </w:tr>
      <w:tr>
        <w:trPr>
          <w:cantSplit/>
        </w:trPr>
        <w:tc>
          <w:tcPr>
            <w:tcW w:type="dxa" w:w="2000"/>
            <w:shd w:fill="E8FCEE"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00633B"/>
                <w:sz w:val="17"/>
                <w:szCs w:val="17"/>
              </w:rPr>
              <w:t xml:space="preserve">Freigegeben</w:t>
            </w:r>
          </w:p>
        </w:tc>
        <w:tc>
          <w:tcPr>
            <w:tcW w:type="dxa" w:w="17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#E8FCEE</w:t>
            </w:r>
          </w:p>
        </w:tc>
        <w:tc>
          <w:tcPr>
            <w:tcW w:type="dxa" w:w="14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#00633B</w:t>
            </w:r>
          </w:p>
        </w:tc>
        <w:tc>
          <w:tcPr>
            <w:tcW w:type="dxa" w:w="43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Approved, paid, checked.</w:t>
            </w:r>
          </w:p>
        </w:tc>
      </w:tr>
      <w:tr>
        <w:trPr>
          <w:cantSplit/>
        </w:trPr>
        <w:tc>
          <w:tcPr>
            <w:tcW w:type="dxa" w:w="2000"/>
            <w:shd w:fill="FFF3DE"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985E00"/>
                <w:sz w:val="17"/>
                <w:szCs w:val="17"/>
              </w:rPr>
              <w:t xml:space="preserve">In Prüfung</w:t>
            </w:r>
          </w:p>
        </w:tc>
        <w:tc>
          <w:tcPr>
            <w:tcW w:type="dxa" w:w="17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#FFF3DE</w:t>
            </w:r>
          </w:p>
        </w:tc>
        <w:tc>
          <w:tcPr>
            <w:tcW w:type="dxa" w:w="14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#985E00</w:t>
            </w:r>
          </w:p>
        </w:tc>
        <w:tc>
          <w:tcPr>
            <w:tcW w:type="dxa" w:w="43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Under review, deadline running.</w:t>
            </w:r>
          </w:p>
        </w:tc>
      </w:tr>
      <w:tr>
        <w:trPr>
          <w:cantSplit/>
        </w:trPr>
        <w:tc>
          <w:tcPr>
            <w:tcW w:type="dxa" w:w="2000"/>
            <w:shd w:fill="FFEDE9"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B83B36"/>
                <w:sz w:val="17"/>
                <w:szCs w:val="17"/>
              </w:rPr>
              <w:t xml:space="preserve">Überfällig</w:t>
            </w:r>
          </w:p>
        </w:tc>
        <w:tc>
          <w:tcPr>
            <w:tcW w:type="dxa" w:w="17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#FFEDE9</w:t>
            </w:r>
          </w:p>
        </w:tc>
        <w:tc>
          <w:tcPr>
            <w:tcW w:type="dxa" w:w="14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#B83B36</w:t>
            </w:r>
          </w:p>
        </w:tc>
        <w:tc>
          <w:tcPr>
            <w:tcW w:type="dxa" w:w="43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Overdue, rejected.</w:t>
            </w:r>
          </w:p>
        </w:tc>
      </w:tr>
      <w:tr>
        <w:trPr>
          <w:cantSplit/>
        </w:trPr>
        <w:tc>
          <w:tcPr>
            <w:tcW w:type="dxa" w:w="2000"/>
            <w:shd w:fill="EFEFEC"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53575B"/>
                <w:sz w:val="17"/>
                <w:szCs w:val="17"/>
              </w:rPr>
              <w:t xml:space="preserve">Entwurf</w:t>
            </w:r>
          </w:p>
        </w:tc>
        <w:tc>
          <w:tcPr>
            <w:tcW w:type="dxa" w:w="17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#EFEFEC</w:t>
            </w:r>
          </w:p>
        </w:tc>
        <w:tc>
          <w:tcPr>
            <w:tcW w:type="dxa" w:w="14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#53575B</w:t>
            </w:r>
          </w:p>
        </w:tc>
        <w:tc>
          <w:tcPr>
            <w:tcW w:type="dxa" w:w="43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Draft, no status.</w:t>
            </w:r>
          </w:p>
        </w:tc>
      </w:tr>
    </w:tbl>
    <w:p>
      <w:pPr>
        <w:pStyle w:val="Heading2"/>
        <w:keepNext/>
        <w:keepLines/>
        <w:spacing w:after="100" w:before="300" w:line="280" w:lineRule="auto"/>
      </w:pPr>
      <w:bookmarkStart w:name="_Toc9000032" w:id="32"/>
      <w:r>
        <w:rPr>
          <w:rFonts w:ascii="Plus Jakarta Sans SemiBold" w:cs="Plus Jakarta Sans SemiBold" w:eastAsia="Plus Jakarta Sans SemiBold" w:hAnsi="Plus Jakarta Sans SemiBold"/>
          <w:color w:val="16181A"/>
          <w:spacing w:val="-6"/>
          <w:sz w:val="25"/>
          <w:szCs w:val="25"/>
        </w:rPr>
        <w:t xml:space="preserve">KPI</w:t>
      </w:r>
      <w:bookmarkEnd w:id="32"/>
    </w:p>
    <w:p>
      <w:pPr>
        <w:spacing w:after="160" w:before="0" w:line="300" w:lineRule="auto"/>
      </w:pPr>
      <w:r>
        <w:rPr>
          <w:rFonts w:ascii="Plus Jakarta Sans" w:cs="Plus Jakarta Sans" w:eastAsia="Plus Jakarta Sans" w:hAnsi="Plus Jakarta Sans"/>
          <w:color w:val="53575B"/>
          <w:sz w:val="18"/>
          <w:szCs w:val="18"/>
        </w:rPr>
        <w:t xml:space="preserve">Mono label above, mono value below, tabular figures. At most one value in accent per group.</w:t>
      </w:r>
    </w:p>
    <w:tbl>
      <w:tblPr>
        <w:tblW w:type="dxa" w:w="9412"/>
        <w:tblBorders>
          <w:top w:val="single" w:color="E2E3E0" w:sz="6" w:space="1"/>
          <w:left w:val="none" w:color="auto" w:sz="0" w:space="0"/>
          <w:bottom w:val="single" w:color="E2E3E0" w:sz="6" w:space="1"/>
          <w:right w:val="none" w:color="auto" w:sz="0" w:space="0"/>
          <w:insideH w:val="single" w:color="E2E3E0" w:sz="4" w:space="1"/>
          <w:insideV w:val="none" w:color="auto" w:sz="0" w:space="0"/>
        </w:tblBorders>
        <w:tblLayout w:type="fixed"/>
      </w:tblPr>
      <w:tblGrid>
        <w:gridCol w:w="2600"/>
        <w:gridCol w:w="3200"/>
        <w:gridCol w:w="3612"/>
      </w:tblGrid>
      <w:tr>
        <w:trPr>
          <w:cantSplit/>
          <w:tblHeader/>
        </w:trPr>
        <w:tc>
          <w:tcPr>
            <w:tcW w:type="dxa" w:w="260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Label</w:t>
            </w:r>
          </w:p>
        </w:tc>
        <w:tc>
          <w:tcPr>
            <w:tcW w:type="dxa" w:w="320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Value</w:t>
            </w:r>
          </w:p>
        </w:tc>
        <w:tc>
          <w:tcPr>
            <w:tcW w:type="dxa" w:w="3612"/>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Delta</w:t>
            </w:r>
          </w:p>
        </w:tc>
      </w:tr>
      <w:tr>
        <w:trPr>
          <w:cantSplit/>
        </w:trPr>
        <w:tc>
          <w:tcPr>
            <w:tcW w:type="dxa" w:w="26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8C9095"/>
                <w:spacing w:val="20"/>
                <w:sz w:val="14"/>
                <w:szCs w:val="14"/>
              </w:rPr>
              <w:t xml:space="preserve">AUFTRAGSSUMME</w:t>
            </w:r>
          </w:p>
        </w:tc>
        <w:tc>
          <w:tcPr>
            <w:tcW w:type="dxa" w:w="3200"/>
            <w:tcMar>
              <w:top w:type="dxa" w:w="70"/>
              <w:left w:type="dxa" w:w="90"/>
              <w:bottom w:type="dxa" w:w="70"/>
              <w:right w:type="dxa" w:w="90"/>
            </w:tcMar>
            <w:vAlign w:val="center"/>
          </w:tcPr>
          <w:p>
            <w:pPr>
              <w:spacing w:after="0" w:before="0" w:line="250" w:lineRule="auto"/>
            </w:pPr>
            <w:r>
              <w:rPr>
                <w:rFonts w:ascii="Geist Mono" w:cs="Geist Mono" w:eastAsia="Geist Mono" w:hAnsi="Geist Mono"/>
                <w:b/>
                <w:bCs/>
                <w:color w:val="16181A"/>
                <w:sz w:val="24"/>
                <w:szCs w:val="24"/>
              </w:rPr>
              <w:t xml:space="preserve">4.284.900,00 €</w:t>
            </w:r>
          </w:p>
        </w:tc>
        <w:tc>
          <w:tcPr>
            <w:tcW w:type="dxa" w:w="3612"/>
            <w:tcMar>
              <w:top w:type="dxa" w:w="70"/>
              <w:left w:type="dxa" w:w="90"/>
              <w:bottom w:type="dxa" w:w="70"/>
              <w:right w:type="dxa" w:w="90"/>
            </w:tcMar>
            <w:vAlign w:val="center"/>
          </w:tcPr>
          <w:p>
            <w:pPr>
              <w:spacing w:after="0" w:before="0" w:line="250" w:lineRule="auto"/>
            </w:pPr>
            <w:r>
              <w:rPr>
                <w:rFonts w:ascii="Geist Mono" w:cs="Geist Mono" w:eastAsia="Geist Mono" w:hAnsi="Geist Mono"/>
                <w:color w:val="53575B"/>
                <w:sz w:val="15"/>
                <w:szCs w:val="15"/>
              </w:rPr>
              <w:t xml:space="preserve">Stand 29.07.2026</w:t>
            </w:r>
          </w:p>
        </w:tc>
      </w:tr>
      <w:tr>
        <w:trPr>
          <w:cantSplit/>
        </w:trPr>
        <w:tc>
          <w:tcPr>
            <w:tcW w:type="dxa" w:w="26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8C9095"/>
                <w:spacing w:val="20"/>
                <w:sz w:val="14"/>
                <w:szCs w:val="14"/>
              </w:rPr>
              <w:t xml:space="preserve">ABGERECHNET</w:t>
            </w:r>
          </w:p>
        </w:tc>
        <w:tc>
          <w:tcPr>
            <w:tcW w:type="dxa" w:w="3200"/>
            <w:tcMar>
              <w:top w:type="dxa" w:w="70"/>
              <w:left w:type="dxa" w:w="90"/>
              <w:bottom w:type="dxa" w:w="70"/>
              <w:right w:type="dxa" w:w="90"/>
            </w:tcMar>
            <w:vAlign w:val="center"/>
          </w:tcPr>
          <w:p>
            <w:pPr>
              <w:spacing w:after="0" w:before="0" w:line="250" w:lineRule="auto"/>
            </w:pPr>
            <w:r>
              <w:rPr>
                <w:rFonts w:ascii="Geist Mono" w:cs="Geist Mono" w:eastAsia="Geist Mono" w:hAnsi="Geist Mono"/>
                <w:b/>
                <w:bCs/>
                <w:color w:val="8E2222"/>
                <w:sz w:val="24"/>
                <w:szCs w:val="24"/>
              </w:rPr>
              <w:t xml:space="preserve">62 %</w:t>
            </w:r>
          </w:p>
        </w:tc>
        <w:tc>
          <w:tcPr>
            <w:tcW w:type="dxa" w:w="3612"/>
            <w:tcMar>
              <w:top w:type="dxa" w:w="70"/>
              <w:left w:type="dxa" w:w="90"/>
              <w:bottom w:type="dxa" w:w="70"/>
              <w:right w:type="dxa" w:w="90"/>
            </w:tcMar>
            <w:vAlign w:val="center"/>
          </w:tcPr>
          <w:p>
            <w:pPr>
              <w:spacing w:after="0" w:before="0" w:line="250" w:lineRule="auto"/>
            </w:pPr>
            <w:r>
              <w:rPr>
                <w:rFonts w:ascii="Geist Mono" w:cs="Geist Mono" w:eastAsia="Geist Mono" w:hAnsi="Geist Mono"/>
                <w:color w:val="53575B"/>
                <w:sz w:val="15"/>
                <w:szCs w:val="15"/>
              </w:rPr>
              <w:t xml:space="preserve">+8 %-Pkt. ggü. Juni</w:t>
            </w:r>
          </w:p>
        </w:tc>
      </w:tr>
    </w:tbl>
    <w:p>
      <w:pPr>
        <w:spacing w:after="240" w:before="60" w:line="260" w:lineRule="auto"/>
      </w:pPr>
      <w:r>
        <w:rPr>
          <w:rFonts w:ascii="Plus Jakarta Sans" w:cs="Plus Jakarta Sans" w:eastAsia="Plus Jakarta Sans" w:hAnsi="Plus Jakarta Sans"/>
          <w:color w:val="53575B"/>
          <w:sz w:val="15"/>
          <w:szCs w:val="15"/>
        </w:rPr>
        <w:t xml:space="preserve">The accent on 62 % is this page’s one red element. If a second KPI needed emphasis, neither would get it.</w:t>
      </w:r>
    </w:p>
    <w:p>
      <w:pPr>
        <w:pStyle w:val="Heading1"/>
        <w:keepNext/>
        <w:pageBreakBefore/>
        <w:spacing w:after="60" w:before="0" w:line="320" w:lineRule="auto"/>
      </w:pPr>
      <w:bookmarkStart w:name="_Toc9000033" w:id="33"/>
      <w:r>
        <w:rPr>
          <w:rFonts w:ascii="Geist Mono" w:cs="Geist Mono" w:eastAsia="Geist Mono" w:hAnsi="Geist Mono"/>
          <w:b/>
          <w:bCs/>
          <w:color w:val="8E2222"/>
          <w:spacing w:val="-8"/>
          <w:sz w:val="44"/>
          <w:szCs w:val="44"/>
        </w:rPr>
        <w:t xml:space="preserve">08</w:t>
      </w:r>
      <w:r>
        <w:rPr>
          <w:rFonts w:ascii="Plus Jakarta Sans" w:cs="Plus Jakarta Sans" w:eastAsia="Plus Jakarta Sans" w:hAnsi="Plus Jakarta Sans"/>
          <w:color w:val="16181A"/>
          <w:sz w:val="44"/>
          <w:szCs w:val="44"/>
        </w:rPr>
        <w:t xml:space="preserve">  </w:t>
      </w:r>
      <w:r>
        <w:rPr>
          <w:rFonts w:ascii="Plus Jakarta Sans ExtraBold" w:cs="Plus Jakarta Sans ExtraBold" w:eastAsia="Plus Jakarta Sans ExtraBold" w:hAnsi="Plus Jakarta Sans ExtraBold"/>
          <w:color w:val="16181A"/>
          <w:spacing w:val="-26"/>
          <w:sz w:val="44"/>
          <w:szCs w:val="44"/>
        </w:rPr>
        <w:t xml:space="preserve">Motion</w:t>
      </w:r>
      <w:bookmarkEnd w:id="33"/>
    </w:p>
    <w:p>
      <w:pPr>
        <w:pBdr>
          <w:bottom w:val="single" w:color="E2E3E0" w:sz="6" w:space="1"/>
        </w:pBdr>
        <w:spacing w:after="200" w:before="40" w:line="40" w:lineRule="exact"/>
      </w:pPr>
      <w:r>
        <w:rPr>
          <w:rFonts w:ascii="Plus Jakarta Sans" w:cs="Plus Jakarta Sans" w:eastAsia="Plus Jakarta Sans" w:hAnsi="Plus Jakarta Sans"/>
          <w:color w:val="16181A"/>
          <w:sz w:val="2"/>
          <w:szCs w:val="2"/>
        </w:rPr>
        <w:t xml:space="preserve"/>
      </w:r>
    </w:p>
    <w:p>
      <w:pPr>
        <w:spacing w:after="280" w:before="0" w:line="330" w:lineRule="auto"/>
      </w:pPr>
      <w:r>
        <w:rPr>
          <w:rFonts w:ascii="Plus Jakarta Sans" w:cs="Plus Jakarta Sans" w:eastAsia="Plus Jakarta Sans" w:hAnsi="Plus Jakarta Sans"/>
          <w:color w:val="53575B"/>
          <w:spacing w:val="-1"/>
          <w:sz w:val="22"/>
          <w:szCs w:val="22"/>
        </w:rPr>
        <w:t xml:space="preserve">Motion confirms an action. It never announces one.</w:t>
      </w:r>
    </w:p>
    <w:p>
      <w:pPr>
        <w:pStyle w:val="Heading2"/>
        <w:keepNext/>
        <w:keepLines/>
        <w:spacing w:after="100" w:before="0" w:line="280" w:lineRule="auto"/>
      </w:pPr>
      <w:bookmarkStart w:name="_Toc9000034" w:id="34"/>
      <w:r>
        <w:rPr>
          <w:rFonts w:ascii="Plus Jakarta Sans SemiBold" w:cs="Plus Jakarta Sans SemiBold" w:eastAsia="Plus Jakarta Sans SemiBold" w:hAnsi="Plus Jakarta Sans SemiBold"/>
          <w:color w:val="16181A"/>
          <w:spacing w:val="-6"/>
          <w:sz w:val="25"/>
          <w:szCs w:val="25"/>
        </w:rPr>
        <w:t xml:space="preserve">Tokens</w:t>
      </w:r>
      <w:bookmarkEnd w:id="34"/>
    </w:p>
    <w:tbl>
      <w:tblPr>
        <w:tblW w:type="dxa" w:w="9412"/>
        <w:tblBorders>
          <w:top w:val="single" w:color="E2E3E0" w:sz="6" w:space="1"/>
          <w:left w:val="none" w:color="auto" w:sz="0" w:space="0"/>
          <w:bottom w:val="single" w:color="E2E3E0" w:sz="6" w:space="1"/>
          <w:right w:val="none" w:color="auto" w:sz="0" w:space="0"/>
          <w:insideH w:val="single" w:color="E2E3E0" w:sz="4" w:space="1"/>
          <w:insideV w:val="none" w:color="auto" w:sz="0" w:space="0"/>
        </w:tblBorders>
        <w:tblLayout w:type="fixed"/>
      </w:tblPr>
      <w:tblGrid>
        <w:gridCol w:w="1800"/>
        <w:gridCol w:w="2900"/>
        <w:gridCol w:w="4712"/>
      </w:tblGrid>
      <w:tr>
        <w:trPr>
          <w:cantSplit/>
          <w:tblHeader/>
        </w:trPr>
        <w:tc>
          <w:tcPr>
            <w:tcW w:type="dxa" w:w="180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Token</w:t>
            </w:r>
          </w:p>
        </w:tc>
        <w:tc>
          <w:tcPr>
            <w:tcW w:type="dxa" w:w="290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Value</w:t>
            </w:r>
          </w:p>
        </w:tc>
        <w:tc>
          <w:tcPr>
            <w:tcW w:type="dxa" w:w="4712"/>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Use</w:t>
            </w:r>
          </w:p>
        </w:tc>
      </w:tr>
      <w:tr>
        <w:trPr>
          <w:cantSplit/>
        </w:trPr>
        <w:tc>
          <w:tcPr>
            <w:tcW w:type="dxa" w:w="18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--bl-fast</w:t>
            </w:r>
          </w:p>
        </w:tc>
        <w:tc>
          <w:tcPr>
            <w:tcW w:type="dxa" w:w="29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140 ms</w:t>
            </w:r>
          </w:p>
        </w:tc>
        <w:tc>
          <w:tcPr>
            <w:tcW w:type="dxa" w:w="47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Hover, focus, colour change.</w:t>
            </w:r>
          </w:p>
        </w:tc>
      </w:tr>
      <w:tr>
        <w:trPr>
          <w:cantSplit/>
        </w:trPr>
        <w:tc>
          <w:tcPr>
            <w:tcW w:type="dxa" w:w="18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--bl-base</w:t>
            </w:r>
          </w:p>
        </w:tc>
        <w:tc>
          <w:tcPr>
            <w:tcW w:type="dxa" w:w="29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240 ms</w:t>
            </w:r>
          </w:p>
        </w:tc>
        <w:tc>
          <w:tcPr>
            <w:tcW w:type="dxa" w:w="47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Reveal, expand, tab change.</w:t>
            </w:r>
          </w:p>
        </w:tc>
      </w:tr>
      <w:tr>
        <w:trPr>
          <w:cantSplit/>
        </w:trPr>
        <w:tc>
          <w:tcPr>
            <w:tcW w:type="dxa" w:w="18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--bl-slow</w:t>
            </w:r>
          </w:p>
        </w:tc>
        <w:tc>
          <w:tcPr>
            <w:tcW w:type="dxa" w:w="29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420 ms</w:t>
            </w:r>
          </w:p>
        </w:tc>
        <w:tc>
          <w:tcPr>
            <w:tcW w:type="dxa" w:w="47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Page-level transitions, the product mock.</w:t>
            </w:r>
          </w:p>
        </w:tc>
      </w:tr>
      <w:tr>
        <w:trPr>
          <w:cantSplit/>
        </w:trPr>
        <w:tc>
          <w:tcPr>
            <w:tcW w:type="dxa" w:w="18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--bl-ease</w:t>
            </w:r>
          </w:p>
        </w:tc>
        <w:tc>
          <w:tcPr>
            <w:tcW w:type="dxa" w:w="29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cubic-bezier(0.22, 1, 0.36, 1)</w:t>
            </w:r>
          </w:p>
        </w:tc>
        <w:tc>
          <w:tcPr>
            <w:tcW w:type="dxa" w:w="47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Default — decelerating, confident.</w:t>
            </w:r>
          </w:p>
        </w:tc>
      </w:tr>
      <w:tr>
        <w:trPr>
          <w:cantSplit/>
        </w:trPr>
        <w:tc>
          <w:tcPr>
            <w:tcW w:type="dxa" w:w="18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--bl-ease-io</w:t>
            </w:r>
          </w:p>
        </w:tc>
        <w:tc>
          <w:tcPr>
            <w:tcW w:type="dxa" w:w="29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cubic-bezier(0.65, 0, 0.35, 1)</w:t>
            </w:r>
          </w:p>
        </w:tc>
        <w:tc>
          <w:tcPr>
            <w:tcW w:type="dxa" w:w="47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Symmetric moves that start and end on screen.</w:t>
            </w:r>
          </w:p>
        </w:tc>
      </w:tr>
    </w:tbl>
    <w:p>
      <w:pPr>
        <w:pStyle w:val="Heading2"/>
        <w:keepNext/>
        <w:keepLines/>
        <w:spacing w:after="100" w:before="300" w:line="280" w:lineRule="auto"/>
      </w:pPr>
      <w:bookmarkStart w:name="_Toc9000035" w:id="35"/>
      <w:r>
        <w:rPr>
          <w:rFonts w:ascii="Plus Jakarta Sans SemiBold" w:cs="Plus Jakarta Sans SemiBold" w:eastAsia="Plus Jakarta Sans SemiBold" w:hAnsi="Plus Jakarta Sans SemiBold"/>
          <w:color w:val="16181A"/>
          <w:spacing w:val="-6"/>
          <w:sz w:val="25"/>
          <w:szCs w:val="25"/>
        </w:rPr>
        <w:t xml:space="preserve">Where motion appears</w:t>
      </w:r>
      <w:bookmarkEnd w:id="35"/>
    </w:p>
    <w:tbl>
      <w:tblPr>
        <w:tblW w:type="dxa" w:w="9412"/>
        <w:tblBorders>
          <w:top w:val="single" w:color="E2E3E0" w:sz="6" w:space="1"/>
          <w:left w:val="none" w:color="auto" w:sz="0" w:space="0"/>
          <w:bottom w:val="single" w:color="E2E3E0" w:sz="6" w:space="1"/>
          <w:right w:val="none" w:color="auto" w:sz="0" w:space="0"/>
          <w:insideH w:val="single" w:color="E2E3E0" w:sz="4" w:space="1"/>
          <w:insideV w:val="none" w:color="auto" w:sz="0" w:space="0"/>
        </w:tblBorders>
        <w:tblLayout w:type="fixed"/>
      </w:tblPr>
      <w:tblGrid>
        <w:gridCol w:w="2000"/>
        <w:gridCol w:w="1700"/>
        <w:gridCol w:w="5712"/>
      </w:tblGrid>
      <w:tr>
        <w:trPr>
          <w:cantSplit/>
          <w:tblHeader/>
        </w:trPr>
        <w:tc>
          <w:tcPr>
            <w:tcW w:type="dxa" w:w="200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Effect</w:t>
            </w:r>
          </w:p>
        </w:tc>
        <w:tc>
          <w:tcPr>
            <w:tcW w:type="dxa" w:w="170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Token</w:t>
            </w:r>
          </w:p>
        </w:tc>
        <w:tc>
          <w:tcPr>
            <w:tcW w:type="dxa" w:w="5712"/>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Rule</w:t>
            </w:r>
          </w:p>
        </w:tc>
      </w:tr>
      <w:tr>
        <w:trPr>
          <w:cantSplit/>
        </w:trPr>
        <w:tc>
          <w:tcPr>
            <w:tcW w:type="dxa" w:w="2000"/>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Nav indicator</w:t>
            </w:r>
          </w:p>
        </w:tc>
        <w:tc>
          <w:tcPr>
            <w:tcW w:type="dxa" w:w="17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--bl-base</w:t>
            </w:r>
          </w:p>
        </w:tc>
        <w:tc>
          <w:tcPr>
            <w:tcW w:type="dxa" w:w="57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A pill slides between items. It follows the pointer, it never leads it.</w:t>
            </w:r>
          </w:p>
        </w:tc>
      </w:tr>
      <w:tr>
        <w:trPr>
          <w:cantSplit/>
        </w:trPr>
        <w:tc>
          <w:tcPr>
            <w:tcW w:type="dxa" w:w="2000"/>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Magnetic button</w:t>
            </w:r>
          </w:p>
        </w:tc>
        <w:tc>
          <w:tcPr>
            <w:tcW w:type="dxa" w:w="17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--bl-fast</w:t>
            </w:r>
          </w:p>
        </w:tc>
        <w:tc>
          <w:tcPr>
            <w:tcW w:type="dxa" w:w="57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Maximum 6 px of pull. Pointer-fine only.</w:t>
            </w:r>
          </w:p>
        </w:tc>
      </w:tr>
      <w:tr>
        <w:trPr>
          <w:cantSplit/>
        </w:trPr>
        <w:tc>
          <w:tcPr>
            <w:tcW w:type="dxa" w:w="2000"/>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Reveal on scroll</w:t>
            </w:r>
          </w:p>
        </w:tc>
        <w:tc>
          <w:tcPr>
            <w:tcW w:type="dxa" w:w="17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--bl-base</w:t>
            </w:r>
          </w:p>
        </w:tc>
        <w:tc>
          <w:tcPr>
            <w:tcW w:type="dxa" w:w="57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Fade up 16 px, once, never on re-entry.</w:t>
            </w:r>
          </w:p>
        </w:tc>
      </w:tr>
      <w:tr>
        <w:trPr>
          <w:cantSplit/>
        </w:trPr>
        <w:tc>
          <w:tcPr>
            <w:tcW w:type="dxa" w:w="2000"/>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Counter on view</w:t>
            </w:r>
          </w:p>
        </w:tc>
        <w:tc>
          <w:tcPr>
            <w:tcW w:type="dxa" w:w="17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--bl-slow</w:t>
            </w:r>
          </w:p>
        </w:tc>
        <w:tc>
          <w:tcPr>
            <w:tcW w:type="dxa" w:w="57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Counts once when the number first enters the viewport.</w:t>
            </w:r>
          </w:p>
        </w:tc>
      </w:tr>
      <w:tr>
        <w:trPr>
          <w:cantSplit/>
        </w:trPr>
        <w:tc>
          <w:tcPr>
            <w:tcW w:type="dxa" w:w="2000"/>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Custom cursor</w:t>
            </w:r>
          </w:p>
        </w:tc>
        <w:tc>
          <w:tcPr>
            <w:tcW w:type="dxa" w:w="17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--bl-fast</w:t>
            </w:r>
          </w:p>
        </w:tc>
        <w:tc>
          <w:tcPr>
            <w:tcW w:type="dxa" w:w="57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Pointer-fine only. Disabled entirely under reduced motion.</w:t>
            </w:r>
          </w:p>
        </w:tc>
      </w:tr>
      <w:tr>
        <w:trPr>
          <w:cantSplit/>
        </w:trPr>
        <w:tc>
          <w:tcPr>
            <w:tcW w:type="dxa" w:w="2000"/>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Dialog and menu</w:t>
            </w:r>
          </w:p>
        </w:tc>
        <w:tc>
          <w:tcPr>
            <w:tcW w:type="dxa" w:w="17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--bl-base</w:t>
            </w:r>
          </w:p>
        </w:tc>
        <w:tc>
          <w:tcPr>
            <w:tcW w:type="dxa" w:w="57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Opens with --bl-ease, closes with --bl-ease-io.</w:t>
            </w:r>
          </w:p>
        </w:tc>
      </w:tr>
    </w:tbl>
    <w:tbl>
      <w:tblPr>
        <w:tblW w:type="dxa" w:w="9412"/>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
      <w:tblGrid>
        <w:gridCol w:w="9412"/>
      </w:tblGrid>
      <w:tr>
        <w:tc>
          <w:tcPr>
            <w:tcW w:type="dxa" w:w="9412"/>
            <w:tcBorders>
              <w:top w:val="none" w:color="auto" w:sz="0" w:space="0"/>
              <w:left w:val="single" w:color="C5C9CD" w:sz="12" w:space="0"/>
              <w:bottom w:val="none" w:color="auto" w:sz="0" w:space="0"/>
              <w:right w:val="none" w:color="auto" w:sz="0" w:space="0"/>
            </w:tcBorders>
            <w:shd w:fill="F4F4F1" w:color="auto" w:val="clear"/>
            <w:tcMar>
              <w:top w:type="dxa" w:w="150"/>
              <w:left w:type="dxa" w:w="180"/>
              <w:bottom w:type="dxa" w:w="150"/>
              <w:right w:type="dxa" w:w="180"/>
            </w:tcMar>
          </w:tcPr>
          <w:p>
            <w:pPr>
              <w:spacing w:after="0" w:before="0" w:line="290" w:lineRule="auto"/>
            </w:pPr>
            <w:r>
              <w:rPr>
                <w:rFonts w:ascii="Plus Jakarta Sans" w:cs="Plus Jakarta Sans" w:eastAsia="Plus Jakarta Sans" w:hAnsi="Plus Jakarta Sans"/>
                <w:color w:val="53575B"/>
                <w:sz w:val="18"/>
                <w:szCs w:val="18"/>
              </w:rPr>
              <w:t xml:space="preserve">Everything is gated by </w:t>
            </w:r>
            <w:r>
              <w:rPr>
                <w:rFonts w:ascii="Geist Mono" w:cs="Geist Mono" w:eastAsia="Geist Mono" w:hAnsi="Geist Mono"/>
                <w:color w:val="16181A"/>
                <w:sz w:val="16"/>
                <w:szCs w:val="16"/>
              </w:rPr>
              <w:t xml:space="preserve">prefers-reduced-motion</w:t>
            </w:r>
            <w:r>
              <w:rPr>
                <w:rFonts w:ascii="Plus Jakarta Sans" w:cs="Plus Jakarta Sans" w:eastAsia="Plus Jakarta Sans" w:hAnsi="Plus Jakarta Sans"/>
                <w:color w:val="53575B"/>
                <w:sz w:val="18"/>
                <w:szCs w:val="18"/>
              </w:rPr>
              <w:t xml:space="preserve">, and pointer-driven effects additionally by </w:t>
            </w:r>
            <w:r>
              <w:rPr>
                <w:rFonts w:ascii="Geist Mono" w:cs="Geist Mono" w:eastAsia="Geist Mono" w:hAnsi="Geist Mono"/>
                <w:color w:val="16181A"/>
                <w:sz w:val="16"/>
                <w:szCs w:val="16"/>
              </w:rPr>
              <w:t xml:space="preserve">pointer: fine</w:t>
            </w:r>
            <w:r>
              <w:rPr>
                <w:rFonts w:ascii="Plus Jakarta Sans" w:cs="Plus Jakarta Sans" w:eastAsia="Plus Jakarta Sans" w:hAnsi="Plus Jakarta Sans"/>
                <w:color w:val="53575B"/>
                <w:sz w:val="18"/>
                <w:szCs w:val="18"/>
              </w:rPr>
              <w:t xml:space="preserve">. Nothing moves more than 24 px. Nothing bounces. Nothing loops.</w:t>
            </w:r>
          </w:p>
        </w:tc>
      </w:tr>
    </w:tbl>
    <w:p>
      <w:pPr>
        <w:pStyle w:val="Heading1"/>
        <w:keepNext/>
        <w:pageBreakBefore/>
        <w:spacing w:after="60" w:before="0" w:line="320" w:lineRule="auto"/>
      </w:pPr>
      <w:bookmarkStart w:name="_Toc9000036" w:id="36"/>
      <w:r>
        <w:rPr>
          <w:rFonts w:ascii="Geist Mono" w:cs="Geist Mono" w:eastAsia="Geist Mono" w:hAnsi="Geist Mono"/>
          <w:b/>
          <w:bCs/>
          <w:color w:val="8E2222"/>
          <w:spacing w:val="-8"/>
          <w:sz w:val="44"/>
          <w:szCs w:val="44"/>
        </w:rPr>
        <w:t xml:space="preserve">09</w:t>
      </w:r>
      <w:r>
        <w:rPr>
          <w:rFonts w:ascii="Plus Jakarta Sans" w:cs="Plus Jakarta Sans" w:eastAsia="Plus Jakarta Sans" w:hAnsi="Plus Jakarta Sans"/>
          <w:color w:val="16181A"/>
          <w:sz w:val="44"/>
          <w:szCs w:val="44"/>
        </w:rPr>
        <w:t xml:space="preserve">  </w:t>
      </w:r>
      <w:r>
        <w:rPr>
          <w:rFonts w:ascii="Plus Jakarta Sans ExtraBold" w:cs="Plus Jakarta Sans ExtraBold" w:eastAsia="Plus Jakarta Sans ExtraBold" w:hAnsi="Plus Jakarta Sans ExtraBold"/>
          <w:color w:val="16181A"/>
          <w:spacing w:val="-26"/>
          <w:sz w:val="44"/>
          <w:szCs w:val="44"/>
        </w:rPr>
        <w:t xml:space="preserve">Voice</w:t>
      </w:r>
      <w:bookmarkEnd w:id="36"/>
    </w:p>
    <w:p>
      <w:pPr>
        <w:pBdr>
          <w:bottom w:val="single" w:color="E2E3E0" w:sz="6" w:space="1"/>
        </w:pBdr>
        <w:spacing w:after="200" w:before="40" w:line="40" w:lineRule="exact"/>
      </w:pPr>
      <w:r>
        <w:rPr>
          <w:rFonts w:ascii="Plus Jakarta Sans" w:cs="Plus Jakarta Sans" w:eastAsia="Plus Jakarta Sans" w:hAnsi="Plus Jakarta Sans"/>
          <w:color w:val="16181A"/>
          <w:sz w:val="2"/>
          <w:szCs w:val="2"/>
        </w:rPr>
        <w:t xml:space="preserve"/>
      </w:r>
    </w:p>
    <w:p>
      <w:pPr>
        <w:spacing w:after="280" w:before="0" w:line="330" w:lineRule="auto"/>
      </w:pPr>
      <w:r>
        <w:rPr>
          <w:rFonts w:ascii="Plus Jakarta Sans" w:cs="Plus Jakarta Sans" w:eastAsia="Plus Jakarta Sans" w:hAnsi="Plus Jakarta Sans"/>
          <w:color w:val="53575B"/>
          <w:spacing w:val="-1"/>
          <w:sz w:val="22"/>
          <w:szCs w:val="22"/>
        </w:rPr>
        <w:t xml:space="preserve">German, direct, technically literate — the way a good Bauleiter writes. Short sentences, exact nouns, no adjective doing a number’s job.</w:t>
      </w:r>
    </w:p>
    <w:tbl>
      <w:tblPr>
        <w:tblW w:type="dxa" w:w="9412"/>
        <w:tblBorders>
          <w:top w:val="single" w:color="E2E3E0" w:sz="6" w:space="1"/>
          <w:left w:val="none" w:color="auto" w:sz="0" w:space="0"/>
          <w:bottom w:val="single" w:color="E2E3E0" w:sz="6" w:space="1"/>
          <w:right w:val="none" w:color="auto" w:sz="0" w:space="0"/>
          <w:insideH w:val="none" w:color="auto" w:sz="0" w:space="0"/>
          <w:insideV w:val="none" w:color="auto" w:sz="0" w:space="0"/>
        </w:tblBorders>
        <w:tblLayout w:type="fixed"/>
      </w:tblPr>
      <w:tblGrid>
        <w:gridCol w:w="4706"/>
        <w:gridCol w:w="4706"/>
      </w:tblGrid>
      <w:tr>
        <w:trPr>
          <w:cantSplit/>
          <w:tblHeader/>
        </w:trPr>
        <w:tc>
          <w:tcPr>
            <w:tcW w:type="dxa" w:w="4706"/>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Do</w:t>
            </w:r>
          </w:p>
        </w:tc>
        <w:tc>
          <w:tcPr>
            <w:tcW w:type="dxa" w:w="4706"/>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Don’t</w:t>
            </w:r>
          </w:p>
        </w:tc>
      </w:tr>
      <w:tr>
        <w:tc>
          <w:tcPr>
            <w:tcW w:type="dxa" w:w="4706"/>
            <w:tcMar>
              <w:top w:type="dxa" w:w="130"/>
              <w:left w:type="dxa" w:w="90"/>
              <w:bottom w:type="dxa" w:w="130"/>
              <w:right w:type="dxa" w:w="260"/>
            </w:tcMar>
            <w:vAlign w:val="top"/>
          </w:tcPr>
          <w:p>
            <w:pPr>
              <w:pStyle w:val="ListParagraph"/>
              <w:numPr>
                <w:ilvl w:val="0"/>
                <w:numId w:val="2"/>
              </w:numPr>
              <w:spacing w:after="70" w:before="0" w:line="280" w:lineRule="auto"/>
            </w:pPr>
            <w:r>
              <w:rPr>
                <w:rFonts w:ascii="Plus Jakarta Sans" w:cs="Plus Jakarta Sans" w:eastAsia="Plus Jakarta Sans" w:hAnsi="Plus Jakarta Sans"/>
                <w:color w:val="16181A"/>
                <w:sz w:val="17"/>
                <w:szCs w:val="17"/>
              </w:rPr>
              <w:t xml:space="preserve">„Von der Ausschreibung bis zur Übergabe geht nichts verloren.“</w:t>
            </w:r>
          </w:p>
          <w:p>
            <w:pPr>
              <w:pStyle w:val="ListParagraph"/>
              <w:numPr>
                <w:ilvl w:val="0"/>
                <w:numId w:val="2"/>
              </w:numPr>
              <w:spacing w:after="70" w:before="0" w:line="280" w:lineRule="auto"/>
            </w:pPr>
            <w:r>
              <w:rPr>
                <w:rFonts w:ascii="Plus Jakarta Sans" w:cs="Plus Jakarta Sans" w:eastAsia="Plus Jakarta Sans" w:hAnsi="Plus Jakarta Sans"/>
                <w:color w:val="16181A"/>
                <w:sz w:val="17"/>
                <w:szCs w:val="17"/>
              </w:rPr>
              <w:t xml:space="preserve">Name the artefact: Leistungsverzeichnis, Aufmaß, Nachtrag, Abschlagsrechnung.</w:t>
            </w:r>
          </w:p>
          <w:p>
            <w:pPr>
              <w:pStyle w:val="ListParagraph"/>
              <w:numPr>
                <w:ilvl w:val="0"/>
                <w:numId w:val="2"/>
              </w:numPr>
              <w:spacing w:after="70" w:before="0" w:line="280" w:lineRule="auto"/>
            </w:pPr>
            <w:r>
              <w:rPr>
                <w:rFonts w:ascii="Plus Jakarta Sans" w:cs="Plus Jakarta Sans" w:eastAsia="Plus Jakarta Sans" w:hAnsi="Plus Jakarta Sans"/>
                <w:color w:val="16181A"/>
                <w:sz w:val="17"/>
                <w:szCs w:val="17"/>
              </w:rPr>
              <w:t xml:space="preserve">Cite the rule where it earns trust: VOB/B § 16.</w:t>
            </w:r>
          </w:p>
          <w:p>
            <w:pPr>
              <w:pStyle w:val="ListParagraph"/>
              <w:numPr>
                <w:ilvl w:val="0"/>
                <w:numId w:val="2"/>
              </w:numPr>
              <w:spacing w:after="70" w:before="0" w:line="280" w:lineRule="auto"/>
            </w:pPr>
            <w:r>
              <w:rPr>
                <w:rFonts w:ascii="Plus Jakarta Sans" w:cs="Plus Jakarta Sans" w:eastAsia="Plus Jakarta Sans" w:hAnsi="Plus Jakarta Sans"/>
                <w:color w:val="16181A"/>
                <w:sz w:val="17"/>
                <w:szCs w:val="17"/>
              </w:rPr>
              <w:t xml:space="preserve">Headlines of one or two clauses. Sub-copy of one sentence.</w:t>
            </w:r>
          </w:p>
          <w:p>
            <w:pPr>
              <w:pStyle w:val="ListParagraph"/>
              <w:numPr>
                <w:ilvl w:val="0"/>
                <w:numId w:val="2"/>
              </w:numPr>
              <w:spacing w:after="70" w:before="0" w:line="280" w:lineRule="auto"/>
            </w:pPr>
            <w:r>
              <w:rPr>
                <w:rFonts w:ascii="Plus Jakarta Sans" w:cs="Plus Jakarta Sans" w:eastAsia="Plus Jakarta Sans" w:hAnsi="Plus Jakarta Sans"/>
                <w:color w:val="16181A"/>
                <w:sz w:val="17"/>
                <w:szCs w:val="17"/>
              </w:rPr>
              <w:t xml:space="preserve">Use „Sie“. Address a Bauleiter, not a persona.</w:t>
            </w:r>
          </w:p>
        </w:tc>
        <w:tc>
          <w:tcPr>
            <w:tcW w:type="dxa" w:w="4706"/>
            <w:tcMar>
              <w:top w:type="dxa" w:w="130"/>
              <w:left w:type="dxa" w:w="260"/>
              <w:bottom w:type="dxa" w:w="130"/>
              <w:right w:type="dxa" w:w="90"/>
            </w:tcMar>
            <w:vAlign w:val="top"/>
          </w:tcPr>
          <w:p>
            <w:pPr>
              <w:pStyle w:val="ListParagraph"/>
              <w:numPr>
                <w:ilvl w:val="0"/>
                <w:numId w:val="3"/>
              </w:numPr>
              <w:spacing w:after="70" w:before="0" w:line="280" w:lineRule="auto"/>
            </w:pPr>
            <w:r>
              <w:rPr>
                <w:rFonts w:ascii="Plus Jakarta Sans" w:cs="Plus Jakarta Sans" w:eastAsia="Plus Jakarta Sans" w:hAnsi="Plus Jakarta Sans"/>
                <w:color w:val="16181A"/>
                <w:sz w:val="17"/>
                <w:szCs w:val="17"/>
              </w:rPr>
              <w:t xml:space="preserve">„Revolutionäre KI-gestützte Cloud-Lösung.“</w:t>
            </w:r>
          </w:p>
          <w:p>
            <w:pPr>
              <w:pStyle w:val="ListParagraph"/>
              <w:numPr>
                <w:ilvl w:val="0"/>
                <w:numId w:val="3"/>
              </w:numPr>
              <w:spacing w:after="70" w:before="0" w:line="280" w:lineRule="auto"/>
            </w:pPr>
            <w:r>
              <w:rPr>
                <w:rFonts w:ascii="Plus Jakarta Sans" w:cs="Plus Jakarta Sans" w:eastAsia="Plus Jakarta Sans" w:hAnsi="Plus Jakarta Sans"/>
                <w:color w:val="16181A"/>
                <w:sz w:val="17"/>
                <w:szCs w:val="17"/>
              </w:rPr>
              <w:t xml:space="preserve">Anglicisms where a German word exists — Abrechnung, not Billing.</w:t>
            </w:r>
          </w:p>
          <w:p>
            <w:pPr>
              <w:pStyle w:val="ListParagraph"/>
              <w:numPr>
                <w:ilvl w:val="0"/>
                <w:numId w:val="3"/>
              </w:numPr>
              <w:spacing w:after="70" w:before="0" w:line="280" w:lineRule="auto"/>
            </w:pPr>
            <w:r>
              <w:rPr>
                <w:rFonts w:ascii="Plus Jakarta Sans" w:cs="Plus Jakarta Sans" w:eastAsia="Plus Jakarta Sans" w:hAnsi="Plus Jakarta Sans"/>
                <w:color w:val="16181A"/>
                <w:sz w:val="17"/>
                <w:szCs w:val="17"/>
              </w:rPr>
              <w:t xml:space="preserve">Exclamation marks. Ever.</w:t>
            </w:r>
          </w:p>
          <w:p>
            <w:pPr>
              <w:pStyle w:val="ListParagraph"/>
              <w:numPr>
                <w:ilvl w:val="0"/>
                <w:numId w:val="3"/>
              </w:numPr>
              <w:spacing w:after="70" w:before="0" w:line="280" w:lineRule="auto"/>
            </w:pPr>
            <w:r>
              <w:rPr>
                <w:rFonts w:ascii="Plus Jakarta Sans" w:cs="Plus Jakarta Sans" w:eastAsia="Plus Jakarta Sans" w:hAnsi="Plus Jakarta Sans"/>
                <w:color w:val="16181A"/>
                <w:sz w:val="17"/>
                <w:szCs w:val="17"/>
              </w:rPr>
              <w:t xml:space="preserve">Claims without a figure behind them.</w:t>
            </w:r>
          </w:p>
          <w:p>
            <w:pPr>
              <w:pStyle w:val="ListParagraph"/>
              <w:numPr>
                <w:ilvl w:val="0"/>
                <w:numId w:val="3"/>
              </w:numPr>
              <w:spacing w:after="70" w:before="0" w:line="280" w:lineRule="auto"/>
            </w:pPr>
            <w:r>
              <w:rPr>
                <w:rFonts w:ascii="Plus Jakarta Sans" w:cs="Plus Jakarta Sans" w:eastAsia="Plus Jakarta Sans" w:hAnsi="Plus Jakarta Sans"/>
                <w:color w:val="16181A"/>
                <w:sz w:val="17"/>
                <w:szCs w:val="17"/>
              </w:rPr>
              <w:t xml:space="preserve">Emoji, in any surface.</w:t>
            </w:r>
          </w:p>
        </w:tc>
      </w:tr>
    </w:tbl>
    <w:p>
      <w:pPr>
        <w:pStyle w:val="Heading2"/>
        <w:keepNext/>
        <w:keepLines/>
        <w:spacing w:after="100" w:before="300" w:line="280" w:lineRule="auto"/>
      </w:pPr>
      <w:bookmarkStart w:name="_Toc9000037" w:id="37"/>
      <w:r>
        <w:rPr>
          <w:rFonts w:ascii="Plus Jakarta Sans SemiBold" w:cs="Plus Jakarta Sans SemiBold" w:eastAsia="Plus Jakarta Sans SemiBold" w:hAnsi="Plus Jakarta Sans SemiBold"/>
          <w:color w:val="16181A"/>
          <w:spacing w:val="-6"/>
          <w:sz w:val="25"/>
          <w:szCs w:val="25"/>
        </w:rPr>
        <w:t xml:space="preserve">Naming</w:t>
      </w:r>
      <w:bookmarkEnd w:id="37"/>
    </w:p>
    <w:p>
      <w:pPr>
        <w:spacing w:after="180" w:before="0" w:line="300" w:lineRule="auto"/>
      </w:pPr>
      <w:r>
        <w:rPr>
          <w:rFonts w:ascii="Plus Jakarta Sans" w:cs="Plus Jakarta Sans" w:eastAsia="Plus Jakarta Sans" w:hAnsi="Plus Jakarta Sans"/>
          <w:color w:val="53575B"/>
          <w:sz w:val="18"/>
          <w:szCs w:val="18"/>
        </w:rPr>
        <w:t xml:space="preserve">BauLynq — one word, camel case, capital B and L, in every language and on every surface. The modules are BidX, INRX, ReportsX, FleetX and CrewX — capital X, no space, no hyphen. Never „Bau Lynq“, „BauLYNQ“, „Baulynq“ or „BAULYNQ“.</w:t>
      </w:r>
    </w:p>
    <w:p>
      <w:pPr>
        <w:pStyle w:val="Heading2"/>
        <w:keepNext/>
        <w:keepLines/>
        <w:spacing w:after="100" w:before="300" w:line="280" w:lineRule="auto"/>
      </w:pPr>
      <w:bookmarkStart w:name="_Toc9000038" w:id="38"/>
      <w:r>
        <w:rPr>
          <w:rFonts w:ascii="Plus Jakarta Sans SemiBold" w:cs="Plus Jakarta Sans SemiBold" w:eastAsia="Plus Jakarta Sans SemiBold" w:hAnsi="Plus Jakarta Sans SemiBold"/>
          <w:color w:val="16181A"/>
          <w:spacing w:val="-6"/>
          <w:sz w:val="25"/>
          <w:szCs w:val="25"/>
        </w:rPr>
        <w:t xml:space="preserve">Specimens</w:t>
      </w:r>
      <w:bookmarkEnd w:id="38"/>
    </w:p>
    <w:p>
      <w:pPr>
        <w:spacing w:after="160" w:before="0" w:line="300" w:lineRule="auto"/>
      </w:pPr>
      <w:r>
        <w:rPr>
          <w:rFonts w:ascii="Plus Jakarta Sans" w:cs="Plus Jakarta Sans" w:eastAsia="Plus Jakarta Sans" w:hAnsi="Plus Jakarta Sans"/>
          <w:color w:val="53575B"/>
          <w:sz w:val="18"/>
          <w:szCs w:val="18"/>
        </w:rPr>
        <w:t xml:space="preserve">Set in the tokens they name, so the voice and the type are judged together.</w:t>
      </w:r>
    </w:p>
    <w:tbl>
      <w:tblPr>
        <w:tblW w:type="dxa" w:w="9412"/>
        <w:tblBorders>
          <w:top w:val="single" w:color="E2E3E0" w:sz="6" w:space="1"/>
          <w:left w:val="none" w:color="auto" w:sz="0" w:space="0"/>
          <w:bottom w:val="single" w:color="E2E3E0" w:sz="6" w:space="1"/>
          <w:right w:val="none" w:color="auto" w:sz="0" w:space="0"/>
          <w:insideH w:val="single" w:color="E2E3E0" w:sz="4" w:space="1"/>
          <w:insideV w:val="none" w:color="auto" w:sz="0" w:space="0"/>
        </w:tblBorders>
        <w:tblLayout w:type="fixed"/>
      </w:tblPr>
      <w:tblGrid>
        <w:gridCol w:w="1900"/>
        <w:gridCol w:w="7512"/>
      </w:tblGrid>
      <w:tr>
        <w:trPr>
          <w:cantSplit/>
          <w:tblHeader/>
        </w:trPr>
        <w:tc>
          <w:tcPr>
            <w:tcW w:type="dxa" w:w="190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Token</w:t>
            </w:r>
          </w:p>
        </w:tc>
        <w:tc>
          <w:tcPr>
            <w:tcW w:type="dxa" w:w="7512"/>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Line</w:t>
            </w:r>
          </w:p>
        </w:tc>
      </w:tr>
      <w:tr>
        <w:trPr>
          <w:cantSplit/>
        </w:trPr>
        <w:tc>
          <w:tcPr>
            <w:tcW w:type="dxa" w:w="1900"/>
            <w:tcMar>
              <w:top w:type="dxa" w:w="70"/>
              <w:left w:type="dxa" w:w="90"/>
              <w:bottom w:type="dxa" w:w="70"/>
              <w:right w:type="dxa" w:w="90"/>
            </w:tcMar>
            <w:vAlign w:val="center"/>
          </w:tcPr>
          <w:p>
            <w:pPr>
              <w:spacing w:after="0" w:before="0" w:line="250" w:lineRule="auto"/>
            </w:pPr>
            <w:r>
              <w:rPr>
                <w:rFonts w:ascii="Geist Mono" w:cs="Geist Mono" w:eastAsia="Geist Mono" w:hAnsi="Geist Mono"/>
                <w:b/>
                <w:bCs/>
                <w:color w:val="16181A"/>
                <w:sz w:val="16"/>
                <w:szCs w:val="16"/>
              </w:rPr>
              <w:t xml:space="preserve">kicker</w:t>
            </w:r>
          </w:p>
        </w:tc>
        <w:tc>
          <w:tcPr>
            <w:tcW w:type="dxa" w:w="7512"/>
            <w:tcMar>
              <w:top w:type="dxa" w:w="70"/>
              <w:left w:type="dxa" w:w="90"/>
              <w:bottom w:type="dxa" w:w="70"/>
              <w:right w:type="dxa" w:w="90"/>
            </w:tcMar>
            <w:vAlign w:val="center"/>
          </w:tcPr>
          <w:p>
            <w:pPr>
              <w:spacing w:after="0" w:before="0" w:line="250" w:lineRule="auto"/>
            </w:pPr>
            <w:r>
              <w:rPr>
                <w:rFonts w:ascii="Geist Mono" w:cs="Geist Mono" w:eastAsia="Geist Mono" w:hAnsi="Geist Mono"/>
                <w:color w:val="53575B"/>
                <w:spacing w:val="26"/>
                <w:sz w:val="15"/>
                <w:szCs w:val="15"/>
              </w:rPr>
              <w:t xml:space="preserve">DIE DEUTSCHE BAUSOFTWARE-SUITE</w:t>
            </w:r>
          </w:p>
        </w:tc>
      </w:tr>
      <w:tr>
        <w:trPr>
          <w:cantSplit/>
        </w:trPr>
        <w:tc>
          <w:tcPr>
            <w:tcW w:type="dxa" w:w="1900"/>
            <w:tcMar>
              <w:top w:type="dxa" w:w="70"/>
              <w:left w:type="dxa" w:w="90"/>
              <w:bottom w:type="dxa" w:w="70"/>
              <w:right w:type="dxa" w:w="90"/>
            </w:tcMar>
            <w:vAlign w:val="center"/>
          </w:tcPr>
          <w:p>
            <w:pPr>
              <w:spacing w:after="0" w:before="0" w:line="250" w:lineRule="auto"/>
            </w:pPr>
            <w:r>
              <w:rPr>
                <w:rFonts w:ascii="Geist Mono" w:cs="Geist Mono" w:eastAsia="Geist Mono" w:hAnsi="Geist Mono"/>
                <w:b/>
                <w:bCs/>
                <w:color w:val="16181A"/>
                <w:sz w:val="16"/>
                <w:szCs w:val="16"/>
              </w:rPr>
              <w:t xml:space="preserve">display-2</w:t>
            </w:r>
          </w:p>
        </w:tc>
        <w:tc>
          <w:tcPr>
            <w:tcW w:type="dxa" w:w="7512"/>
            <w:tcMar>
              <w:top w:type="dxa" w:w="70"/>
              <w:left w:type="dxa" w:w="90"/>
              <w:bottom w:type="dxa" w:w="70"/>
              <w:right w:type="dxa" w:w="90"/>
            </w:tcMar>
            <w:vAlign w:val="center"/>
          </w:tcPr>
          <w:p>
            <w:pPr>
              <w:spacing w:after="0" w:before="0" w:line="250" w:lineRule="auto"/>
            </w:pPr>
            <w:r>
              <w:rPr>
                <w:rFonts w:ascii="Plus Jakarta Sans ExtraBold" w:cs="Plus Jakarta Sans ExtraBold" w:eastAsia="Plus Jakarta Sans ExtraBold" w:hAnsi="Plus Jakarta Sans ExtraBold"/>
                <w:color w:val="16181A"/>
                <w:spacing w:val="-16"/>
                <w:sz w:val="30"/>
                <w:szCs w:val="30"/>
              </w:rPr>
              <w:t xml:space="preserve">Ein Projekt. Ein Datensatz.</w:t>
            </w:r>
          </w:p>
        </w:tc>
      </w:tr>
      <w:tr>
        <w:trPr>
          <w:cantSplit/>
        </w:trPr>
        <w:tc>
          <w:tcPr>
            <w:tcW w:type="dxa" w:w="1900"/>
            <w:tcMar>
              <w:top w:type="dxa" w:w="70"/>
              <w:left w:type="dxa" w:w="90"/>
              <w:bottom w:type="dxa" w:w="70"/>
              <w:right w:type="dxa" w:w="90"/>
            </w:tcMar>
            <w:vAlign w:val="center"/>
          </w:tcPr>
          <w:p>
            <w:pPr>
              <w:spacing w:after="0" w:before="0" w:line="250" w:lineRule="auto"/>
            </w:pPr>
            <w:r>
              <w:rPr>
                <w:rFonts w:ascii="Geist Mono" w:cs="Geist Mono" w:eastAsia="Geist Mono" w:hAnsi="Geist Mono"/>
                <w:b/>
                <w:bCs/>
                <w:color w:val="16181A"/>
                <w:sz w:val="16"/>
                <w:szCs w:val="16"/>
              </w:rPr>
              <w:t xml:space="preserve">h1</w:t>
            </w:r>
          </w:p>
        </w:tc>
        <w:tc>
          <w:tcPr>
            <w:tcW w:type="dxa" w:w="75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b/>
                <w:bCs/>
                <w:color w:val="16181A"/>
                <w:spacing w:val="-8"/>
                <w:sz w:val="22"/>
                <w:szCs w:val="22"/>
              </w:rPr>
              <w:t xml:space="preserve">Von der Ausschreibung bis zur Übergabe</w:t>
            </w:r>
          </w:p>
        </w:tc>
      </w:tr>
      <w:tr>
        <w:trPr>
          <w:cantSplit/>
        </w:trPr>
        <w:tc>
          <w:tcPr>
            <w:tcW w:type="dxa" w:w="1900"/>
            <w:tcMar>
              <w:top w:type="dxa" w:w="70"/>
              <w:left w:type="dxa" w:w="90"/>
              <w:bottom w:type="dxa" w:w="70"/>
              <w:right w:type="dxa" w:w="90"/>
            </w:tcMar>
            <w:vAlign w:val="center"/>
          </w:tcPr>
          <w:p>
            <w:pPr>
              <w:spacing w:after="0" w:before="0" w:line="250" w:lineRule="auto"/>
            </w:pPr>
            <w:r>
              <w:rPr>
                <w:rFonts w:ascii="Geist Mono" w:cs="Geist Mono" w:eastAsia="Geist Mono" w:hAnsi="Geist Mono"/>
                <w:b/>
                <w:bCs/>
                <w:color w:val="16181A"/>
                <w:sz w:val="16"/>
                <w:szCs w:val="16"/>
              </w:rPr>
              <w:t xml:space="preserve">body-lg</w:t>
            </w:r>
          </w:p>
        </w:tc>
        <w:tc>
          <w:tcPr>
            <w:tcW w:type="dxa" w:w="75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8"/>
                <w:szCs w:val="18"/>
              </w:rPr>
              <w:t xml:space="preserve">BauLynq verbindet Ausschreibung, Vergabe, Ausführung und Abrechnung auf einem Datensatz — dem LV.</w:t>
            </w:r>
          </w:p>
        </w:tc>
      </w:tr>
      <w:tr>
        <w:trPr>
          <w:cantSplit/>
        </w:trPr>
        <w:tc>
          <w:tcPr>
            <w:tcW w:type="dxa" w:w="1900"/>
            <w:tcMar>
              <w:top w:type="dxa" w:w="70"/>
              <w:left w:type="dxa" w:w="90"/>
              <w:bottom w:type="dxa" w:w="70"/>
              <w:right w:type="dxa" w:w="90"/>
            </w:tcMar>
            <w:vAlign w:val="center"/>
          </w:tcPr>
          <w:p>
            <w:pPr>
              <w:spacing w:after="0" w:before="0" w:line="250" w:lineRule="auto"/>
            </w:pPr>
            <w:r>
              <w:rPr>
                <w:rFonts w:ascii="Geist Mono" w:cs="Geist Mono" w:eastAsia="Geist Mono" w:hAnsi="Geist Mono"/>
                <w:b/>
                <w:bCs/>
                <w:color w:val="16181A"/>
                <w:sz w:val="16"/>
                <w:szCs w:val="16"/>
              </w:rPr>
              <w:t xml:space="preserve">body-sm</w:t>
            </w:r>
          </w:p>
        </w:tc>
        <w:tc>
          <w:tcPr>
            <w:tcW w:type="dxa" w:w="75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53575B"/>
                <w:sz w:val="16"/>
                <w:szCs w:val="16"/>
              </w:rPr>
              <w:t xml:space="preserve">Gilt für alle Vergabeeinheiten nach VOB/B § 16.</w:t>
            </w:r>
          </w:p>
        </w:tc>
      </w:tr>
      <w:tr>
        <w:trPr>
          <w:cantSplit/>
        </w:trPr>
        <w:tc>
          <w:tcPr>
            <w:tcW w:type="dxa" w:w="1900"/>
            <w:tcMar>
              <w:top w:type="dxa" w:w="70"/>
              <w:left w:type="dxa" w:w="90"/>
              <w:bottom w:type="dxa" w:w="70"/>
              <w:right w:type="dxa" w:w="90"/>
            </w:tcMar>
            <w:vAlign w:val="center"/>
          </w:tcPr>
          <w:p>
            <w:pPr>
              <w:spacing w:after="0" w:before="0" w:line="250" w:lineRule="auto"/>
            </w:pPr>
            <w:r>
              <w:rPr>
                <w:rFonts w:ascii="Geist Mono" w:cs="Geist Mono" w:eastAsia="Geist Mono" w:hAnsi="Geist Mono"/>
                <w:b/>
                <w:bCs/>
                <w:color w:val="16181A"/>
                <w:sz w:val="16"/>
                <w:szCs w:val="16"/>
              </w:rPr>
              <w:t xml:space="preserve">caption</w:t>
            </w:r>
          </w:p>
        </w:tc>
        <w:tc>
          <w:tcPr>
            <w:tcW w:type="dxa" w:w="75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53575B"/>
                <w:spacing w:val="1"/>
                <w:sz w:val="15"/>
                <w:szCs w:val="15"/>
              </w:rPr>
              <w:t xml:space="preserve">Stand: 29.07.2026 · Bauabschnitt 2</w:t>
            </w:r>
          </w:p>
        </w:tc>
      </w:tr>
      <w:tr>
        <w:trPr>
          <w:cantSplit/>
        </w:trPr>
        <w:tc>
          <w:tcPr>
            <w:tcW w:type="dxa" w:w="1900"/>
            <w:tcMar>
              <w:top w:type="dxa" w:w="70"/>
              <w:left w:type="dxa" w:w="90"/>
              <w:bottom w:type="dxa" w:w="70"/>
              <w:right w:type="dxa" w:w="90"/>
            </w:tcMar>
            <w:vAlign w:val="center"/>
          </w:tcPr>
          <w:p>
            <w:pPr>
              <w:spacing w:after="0" w:before="0" w:line="250" w:lineRule="auto"/>
            </w:pPr>
            <w:r>
              <w:rPr>
                <w:rFonts w:ascii="Geist Mono" w:cs="Geist Mono" w:eastAsia="Geist Mono" w:hAnsi="Geist Mono"/>
                <w:b/>
                <w:bCs/>
                <w:color w:val="16181A"/>
                <w:sz w:val="16"/>
                <w:szCs w:val="16"/>
              </w:rPr>
              <w:t xml:space="preserve">data</w:t>
            </w:r>
          </w:p>
        </w:tc>
        <w:tc>
          <w:tcPr>
            <w:tcW w:type="dxa" w:w="7512"/>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7"/>
                <w:szCs w:val="17"/>
              </w:rPr>
              <w:t xml:space="preserve">4.284.900,00 €  ·  62 %  ·  AR-11</w:t>
            </w:r>
          </w:p>
        </w:tc>
      </w:tr>
    </w:tbl>
    <w:p>
      <w:pPr>
        <w:spacing w:after="240" w:before="60" w:line="260" w:lineRule="auto"/>
      </w:pPr>
      <w:r>
        <w:rPr>
          <w:rFonts w:ascii="Plus Jakarta Sans" w:cs="Plus Jakarta Sans" w:eastAsia="Plus Jakarta Sans" w:hAnsi="Plus Jakarta Sans"/>
          <w:color w:val="53575B"/>
          <w:sz w:val="15"/>
          <w:szCs w:val="15"/>
        </w:rPr>
        <w:t xml:space="preserve">The German samples stay German — they are the product’s voice, not this manual’s.</w:t>
      </w:r>
    </w:p>
    <w:p>
      <w:pPr>
        <w:pStyle w:val="Heading1"/>
        <w:keepNext/>
        <w:pageBreakBefore/>
        <w:spacing w:after="60" w:before="0" w:line="320" w:lineRule="auto"/>
      </w:pPr>
      <w:bookmarkStart w:name="_Toc9000039" w:id="39"/>
      <w:r>
        <w:rPr>
          <w:rFonts w:ascii="Geist Mono" w:cs="Geist Mono" w:eastAsia="Geist Mono" w:hAnsi="Geist Mono"/>
          <w:b/>
          <w:bCs/>
          <w:color w:val="8E2222"/>
          <w:spacing w:val="-8"/>
          <w:sz w:val="44"/>
          <w:szCs w:val="44"/>
        </w:rPr>
        <w:t xml:space="preserve">10</w:t>
      </w:r>
      <w:r>
        <w:rPr>
          <w:rFonts w:ascii="Plus Jakarta Sans" w:cs="Plus Jakarta Sans" w:eastAsia="Plus Jakarta Sans" w:hAnsi="Plus Jakarta Sans"/>
          <w:color w:val="16181A"/>
          <w:sz w:val="44"/>
          <w:szCs w:val="44"/>
        </w:rPr>
        <w:t xml:space="preserve">  </w:t>
      </w:r>
      <w:r>
        <w:rPr>
          <w:rFonts w:ascii="Plus Jakarta Sans ExtraBold" w:cs="Plus Jakarta Sans ExtraBold" w:eastAsia="Plus Jakarta Sans ExtraBold" w:hAnsi="Plus Jakarta Sans ExtraBold"/>
          <w:color w:val="16181A"/>
          <w:spacing w:val="-26"/>
          <w:sz w:val="44"/>
          <w:szCs w:val="44"/>
        </w:rPr>
        <w:t xml:space="preserve">Documents</w:t>
      </w:r>
      <w:bookmarkEnd w:id="39"/>
    </w:p>
    <w:p>
      <w:pPr>
        <w:pBdr>
          <w:bottom w:val="single" w:color="E2E3E0" w:sz="6" w:space="1"/>
        </w:pBdr>
        <w:spacing w:after="200" w:before="40" w:line="40" w:lineRule="exact"/>
      </w:pPr>
      <w:r>
        <w:rPr>
          <w:rFonts w:ascii="Plus Jakarta Sans" w:cs="Plus Jakarta Sans" w:eastAsia="Plus Jakarta Sans" w:hAnsi="Plus Jakarta Sans"/>
          <w:color w:val="16181A"/>
          <w:sz w:val="2"/>
          <w:szCs w:val="2"/>
        </w:rPr>
        <w:t xml:space="preserve"/>
      </w:r>
    </w:p>
    <w:p>
      <w:pPr>
        <w:spacing w:after="280" w:before="0" w:line="330" w:lineRule="auto"/>
      </w:pPr>
      <w:r>
        <w:rPr>
          <w:rFonts w:ascii="Plus Jakarta Sans" w:cs="Plus Jakarta Sans" w:eastAsia="Plus Jakarta Sans" w:hAnsi="Plus Jakarta Sans"/>
          <w:color w:val="53575B"/>
          <w:spacing w:val="-1"/>
          <w:sz w:val="22"/>
          <w:szCs w:val="22"/>
        </w:rPr>
        <w:t xml:space="preserve">Word, PowerPoint and Excel templates ship with this system, all in German, all built from the same tokens.</w:t>
      </w:r>
    </w:p>
    <w:tbl>
      <w:tblPr>
        <w:tblW w:type="dxa" w:w="9412"/>
        <w:tblBorders>
          <w:top w:val="single" w:color="E2E3E0" w:sz="6" w:space="1"/>
          <w:left w:val="none" w:color="auto" w:sz="0" w:space="0"/>
          <w:bottom w:val="single" w:color="E2E3E0" w:sz="6" w:space="1"/>
          <w:right w:val="none" w:color="auto" w:sz="0" w:space="0"/>
          <w:insideH w:val="single" w:color="E2E3E0" w:sz="4" w:space="1"/>
          <w:insideV w:val="none" w:color="auto" w:sz="0" w:space="0"/>
        </w:tblBorders>
        <w:tblLayout w:type="fixed"/>
      </w:tblPr>
      <w:tblGrid>
        <w:gridCol w:w="3000"/>
        <w:gridCol w:w="6412"/>
      </w:tblGrid>
      <w:tr>
        <w:trPr>
          <w:cantSplit/>
          <w:tblHeader/>
        </w:trPr>
        <w:tc>
          <w:tcPr>
            <w:tcW w:type="dxa" w:w="300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File</w:t>
            </w:r>
          </w:p>
        </w:tc>
        <w:tc>
          <w:tcPr>
            <w:tcW w:type="dxa" w:w="6412"/>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What it is</w:t>
            </w:r>
          </w:p>
        </w:tc>
      </w:tr>
      <w:tr>
        <w:trPr>
          <w:cantSplit/>
        </w:trPr>
        <w:tc>
          <w:tcPr>
            <w:tcW w:type="dxa" w:w="30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BauLynq-Briefbogen.docx</w:t>
            </w:r>
          </w:p>
        </w:tc>
        <w:tc>
          <w:tcPr>
            <w:tcW w:type="dxa" w:w="64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DIN 5008 letterhead — logo, mono kicker, hairline rules, real page-number fields, three-column footer.</w:t>
            </w:r>
          </w:p>
        </w:tc>
      </w:tr>
      <w:tr>
        <w:trPr>
          <w:cantSplit/>
        </w:trPr>
        <w:tc>
          <w:tcPr>
            <w:tcW w:type="dxa" w:w="30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BauLynq-Bericht.docx</w:t>
            </w:r>
          </w:p>
        </w:tc>
        <w:tc>
          <w:tcPr>
            <w:tcW w:type="dxa" w:w="64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Project report — bleeding near-black cover, live table of contents, KPI row, invoice table with status colours, accent callout.</w:t>
            </w:r>
          </w:p>
        </w:tc>
      </w:tr>
      <w:tr>
        <w:trPr>
          <w:cantSplit/>
        </w:trPr>
        <w:tc>
          <w:tcPr>
            <w:tcW w:type="dxa" w:w="30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BauLynq-Vorlage.dotx</w:t>
            </w:r>
          </w:p>
        </w:tc>
        <w:tc>
          <w:tcPr>
            <w:tcW w:type="dxa" w:w="64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The report as a true Word template with the full named style set.</w:t>
            </w:r>
          </w:p>
        </w:tc>
      </w:tr>
      <w:tr>
        <w:trPr>
          <w:cantSplit/>
        </w:trPr>
        <w:tc>
          <w:tcPr>
            <w:tcW w:type="dxa" w:w="30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BauLynq-Praesentation.pptx</w:t>
            </w:r>
          </w:p>
        </w:tc>
        <w:tc>
          <w:tcPr>
            <w:tcW w:type="dxa" w:w="64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Ten-slide German deck — title, agenda, statement, three pillars, KPI, table, native chart, product suite, timeline, close.</w:t>
            </w:r>
          </w:p>
        </w:tc>
      </w:tr>
      <w:tr>
        <w:trPr>
          <w:cantSplit/>
        </w:trPr>
        <w:tc>
          <w:tcPr>
            <w:tcW w:type="dxa" w:w="30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BauLynq-Vorlage.potx</w:t>
            </w:r>
          </w:p>
        </w:tc>
        <w:tc>
          <w:tcPr>
            <w:tcW w:type="dxa" w:w="64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PowerPoint template — BauLynq theme colours and fonts, eight named layouts.</w:t>
            </w:r>
          </w:p>
        </w:tc>
      </w:tr>
      <w:tr>
        <w:trPr>
          <w:cantSplit/>
        </w:trPr>
        <w:tc>
          <w:tcPr>
            <w:tcW w:type="dxa" w:w="30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BauLynq-Kostenverfolgung.xlsx</w:t>
            </w:r>
          </w:p>
        </w:tc>
        <w:tc>
          <w:tcPr>
            <w:tcW w:type="dxa" w:w="64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Working cost-control workbook — LV with 32 positions, formula-driven KPIs, invoice ageing, two native charts, a self-documenting Tokens sheet.</w:t>
            </w:r>
          </w:p>
        </w:tc>
      </w:tr>
      <w:tr>
        <w:trPr>
          <w:cantSplit/>
        </w:trPr>
        <w:tc>
          <w:tcPr>
            <w:tcW w:type="dxa" w:w="30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BauLynq-Vorlage.xltx</w:t>
            </w:r>
          </w:p>
        </w:tc>
        <w:tc>
          <w:tcPr>
            <w:tcW w:type="dxa" w:w="64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The workbook stripped to headers, formulas and formatting.</w:t>
            </w:r>
          </w:p>
        </w:tc>
      </w:tr>
    </w:tbl>
    <w:tbl>
      <w:tblPr>
        <w:tblW w:type="dxa" w:w="9412"/>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
      <w:tblGrid>
        <w:gridCol w:w="9412"/>
      </w:tblGrid>
      <w:tr>
        <w:tc>
          <w:tcPr>
            <w:tcW w:type="dxa" w:w="9412"/>
            <w:tcBorders>
              <w:top w:val="none" w:color="auto" w:sz="0" w:space="0"/>
              <w:left w:val="single" w:color="C5C9CD" w:sz="12" w:space="0"/>
              <w:bottom w:val="none" w:color="auto" w:sz="0" w:space="0"/>
              <w:right w:val="none" w:color="auto" w:sz="0" w:space="0"/>
            </w:tcBorders>
            <w:shd w:fill="F4F4F1" w:color="auto" w:val="clear"/>
            <w:tcMar>
              <w:top w:type="dxa" w:w="150"/>
              <w:left w:type="dxa" w:w="180"/>
              <w:bottom w:type="dxa" w:w="150"/>
              <w:right w:type="dxa" w:w="180"/>
            </w:tcMar>
          </w:tcPr>
          <w:p>
            <w:pPr>
              <w:spacing w:after="0" w:before="0" w:line="290" w:lineRule="auto"/>
            </w:pPr>
            <w:r>
              <w:rPr>
                <w:rFonts w:ascii="Plus Jakarta Sans SemiBold" w:cs="Plus Jakarta Sans SemiBold" w:eastAsia="Plus Jakarta Sans SemiBold" w:hAnsi="Plus Jakarta Sans SemiBold"/>
                <w:color w:val="16181A"/>
                <w:sz w:val="18"/>
                <w:szCs w:val="18"/>
              </w:rPr>
              <w:t xml:space="preserve">Install the fonts first. </w:t>
            </w:r>
            <w:r>
              <w:rPr>
                <w:rFonts w:ascii="Plus Jakarta Sans" w:cs="Plus Jakarta Sans" w:eastAsia="Plus Jakarta Sans" w:hAnsi="Plus Jakarta Sans"/>
                <w:color w:val="53575B"/>
                <w:sz w:val="18"/>
                <w:szCs w:val="18"/>
              </w:rPr>
              <w:t xml:space="preserve">The </w:t>
            </w:r>
            <w:r>
              <w:rPr>
                <w:rFonts w:ascii="Geist Mono" w:cs="Geist Mono" w:eastAsia="Geist Mono" w:hAnsi="Geist Mono"/>
                <w:color w:val="16181A"/>
                <w:sz w:val="16"/>
                <w:szCs w:val="16"/>
              </w:rPr>
              <w:t xml:space="preserve">fonts/</w:t>
            </w:r>
            <w:r>
              <w:rPr>
                <w:rFonts w:ascii="Plus Jakarta Sans" w:cs="Plus Jakarta Sans" w:eastAsia="Plus Jakarta Sans" w:hAnsi="Plus Jakarta Sans"/>
                <w:color w:val="53575B"/>
                <w:sz w:val="18"/>
                <w:szCs w:val="18"/>
              </w:rPr>
              <w:t xml:space="preserve"> folder holds static Plus Jakarta Sans (Regular, Medium, SemiBold, Bold, ExtraBold) and Geist Mono (Regular, Bold). Without them Office falls back to Aptos or Calibri and the documents lose their voice — the layout still holds, but the type does not. Both families are SIL OFL, so you may install them on every machine in the company and send the files to clients.</w:t>
            </w:r>
          </w:p>
        </w:tc>
      </w:tr>
    </w:tbl>
    <w:p>
      <w:pPr>
        <w:spacing w:after="0" w:before="0" w:line="220" w:lineRule="exact"/>
      </w:pPr>
      <w:r>
        <w:rPr>
          <w:rFonts w:ascii="Plus Jakarta Sans" w:cs="Plus Jakarta Sans" w:eastAsia="Plus Jakarta Sans" w:hAnsi="Plus Jakarta Sans"/>
          <w:color w:val="16181A"/>
          <w:sz w:val="2"/>
          <w:szCs w:val="2"/>
        </w:rPr>
        <w:t xml:space="preserve"/>
      </w:r>
    </w:p>
    <w:p>
      <w:pPr>
        <w:pStyle w:val="Heading2"/>
        <w:keepNext/>
        <w:keepLines/>
        <w:spacing w:after="100" w:before="300" w:line="280" w:lineRule="auto"/>
      </w:pPr>
      <w:bookmarkStart w:name="_Toc9000040" w:id="40"/>
      <w:r>
        <w:rPr>
          <w:rFonts w:ascii="Plus Jakarta Sans SemiBold" w:cs="Plus Jakarta Sans SemiBold" w:eastAsia="Plus Jakarta Sans SemiBold" w:hAnsi="Plus Jakarta Sans SemiBold"/>
          <w:color w:val="16181A"/>
          <w:spacing w:val="-6"/>
          <w:sz w:val="25"/>
          <w:szCs w:val="25"/>
        </w:rPr>
        <w:t xml:space="preserve">Page geometry for print</w:t>
      </w:r>
      <w:bookmarkEnd w:id="40"/>
    </w:p>
    <w:p>
      <w:pPr>
        <w:spacing w:after="160" w:before="0" w:line="300" w:lineRule="auto"/>
      </w:pPr>
      <w:r>
        <w:rPr>
          <w:rFonts w:ascii="Plus Jakarta Sans" w:cs="Plus Jakarta Sans" w:eastAsia="Plus Jakarta Sans" w:hAnsi="Plus Jakarta Sans"/>
          <w:color w:val="53575B"/>
          <w:sz w:val="18"/>
          <w:szCs w:val="18"/>
        </w:rPr>
        <w:t xml:space="preserve">Every printed BauLynq document — this manual included — is built to the same page.</w:t>
      </w:r>
    </w:p>
    <w:tbl>
      <w:tblPr>
        <w:tblW w:type="dxa" w:w="9412"/>
        <w:tblBorders>
          <w:top w:val="single" w:color="E2E3E0" w:sz="6" w:space="1"/>
          <w:left w:val="none" w:color="auto" w:sz="0" w:space="0"/>
          <w:bottom w:val="single" w:color="E2E3E0" w:sz="6" w:space="1"/>
          <w:right w:val="none" w:color="auto" w:sz="0" w:space="0"/>
          <w:insideH w:val="single" w:color="E2E3E0" w:sz="4" w:space="1"/>
          <w:insideV w:val="none" w:color="auto" w:sz="0" w:space="0"/>
        </w:tblBorders>
        <w:tblLayout w:type="fixed"/>
      </w:tblPr>
      <w:tblGrid>
        <w:gridCol w:w="1900"/>
        <w:gridCol w:w="7512"/>
      </w:tblGrid>
      <w:tr>
        <w:trPr>
          <w:cantSplit/>
          <w:tblHeader/>
        </w:trPr>
        <w:tc>
          <w:tcPr>
            <w:tcW w:type="dxa" w:w="190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Measure</w:t>
            </w:r>
          </w:p>
        </w:tc>
        <w:tc>
          <w:tcPr>
            <w:tcW w:type="dxa" w:w="7512"/>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Value</w:t>
            </w:r>
          </w:p>
        </w:tc>
      </w:tr>
      <w:tr>
        <w:trPr>
          <w:cantSplit/>
        </w:trPr>
        <w:tc>
          <w:tcPr>
            <w:tcW w:type="dxa" w:w="1900"/>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Page</w:t>
            </w:r>
          </w:p>
        </w:tc>
        <w:tc>
          <w:tcPr>
            <w:tcW w:type="dxa" w:w="75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A4 — 210 × 297 mm.</w:t>
            </w:r>
          </w:p>
        </w:tc>
      </w:tr>
      <w:tr>
        <w:trPr>
          <w:cantSplit/>
        </w:trPr>
        <w:tc>
          <w:tcPr>
            <w:tcW w:type="dxa" w:w="1900"/>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Margins</w:t>
            </w:r>
          </w:p>
        </w:tc>
        <w:tc>
          <w:tcPr>
            <w:tcW w:type="dxa" w:w="75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22 mm sides · 20 mm top · 22 mm bottom.</w:t>
            </w:r>
          </w:p>
        </w:tc>
      </w:tr>
      <w:tr>
        <w:trPr>
          <w:cantSplit/>
        </w:trPr>
        <w:tc>
          <w:tcPr>
            <w:tcW w:type="dxa" w:w="1900"/>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Rules</w:t>
            </w:r>
          </w:p>
        </w:tc>
        <w:tc>
          <w:tcPr>
            <w:tcW w:type="dxa" w:w="75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0.5–0.75 pt in #E2E3E0. Header underline 1 pt in #16181A. Never heavier.</w:t>
            </w:r>
          </w:p>
        </w:tc>
      </w:tr>
      <w:tr>
        <w:trPr>
          <w:cantSplit/>
        </w:trPr>
        <w:tc>
          <w:tcPr>
            <w:tcW w:type="dxa" w:w="1900"/>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Tables</w:t>
            </w:r>
          </w:p>
        </w:tc>
        <w:tc>
          <w:tcPr>
            <w:tcW w:type="dxa" w:w="75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No vertical rules. Header fill #F4F4F1, SemiBold ink text. Body rows separated by hairlines.</w:t>
            </w:r>
          </w:p>
        </w:tc>
      </w:tr>
      <w:tr>
        <w:trPr>
          <w:cantSplit/>
        </w:trPr>
        <w:tc>
          <w:tcPr>
            <w:tcW w:type="dxa" w:w="1900"/>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Numbers</w:t>
            </w:r>
          </w:p>
        </w:tc>
        <w:tc>
          <w:tcPr>
            <w:tcW w:type="dxa" w:w="75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Geist Mono, tabular, right-aligned. Currency after the number with a non-breaking space.</w:t>
            </w:r>
          </w:p>
        </w:tc>
      </w:tr>
      <w:tr>
        <w:trPr>
          <w:cantSplit/>
        </w:trPr>
        <w:tc>
          <w:tcPr>
            <w:tcW w:type="dxa" w:w="1900"/>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Accent</w:t>
            </w:r>
          </w:p>
        </w:tc>
        <w:tc>
          <w:tcPr>
            <w:tcW w:type="dxa" w:w="75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At most one #8E2222 element per page, plus the logo.</w:t>
            </w:r>
          </w:p>
        </w:tc>
      </w:tr>
      <w:tr>
        <w:trPr>
          <w:cantSplit/>
        </w:trPr>
        <w:tc>
          <w:tcPr>
            <w:tcW w:type="dxa" w:w="1900"/>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Footer</w:t>
            </w:r>
          </w:p>
        </w:tc>
        <w:tc>
          <w:tcPr>
            <w:tcW w:type="dxa" w:w="75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Hairline, then the document title left and the page number right, 8 pt Geist Mono in #8C9095.</w:t>
            </w:r>
          </w:p>
        </w:tc>
      </w:tr>
    </w:tbl>
    <w:p>
      <w:pPr>
        <w:pStyle w:val="Heading2"/>
        <w:keepNext/>
        <w:keepLines/>
        <w:spacing w:after="100" w:before="300" w:line="280" w:lineRule="auto"/>
      </w:pPr>
      <w:bookmarkStart w:name="_Toc9000041" w:id="41"/>
      <w:r>
        <w:rPr>
          <w:rFonts w:ascii="Plus Jakarta Sans SemiBold" w:cs="Plus Jakarta Sans SemiBold" w:eastAsia="Plus Jakarta Sans SemiBold" w:hAnsi="Plus Jakarta Sans SemiBold"/>
          <w:color w:val="16181A"/>
          <w:spacing w:val="-6"/>
          <w:sz w:val="25"/>
          <w:szCs w:val="25"/>
        </w:rPr>
        <w:t xml:space="preserve">Theme fonts</w:t>
      </w:r>
      <w:bookmarkEnd w:id="41"/>
    </w:p>
    <w:p>
      <w:pPr>
        <w:spacing w:after="160" w:before="0" w:line="300" w:lineRule="auto"/>
      </w:pPr>
      <w:r>
        <w:rPr>
          <w:rFonts w:ascii="Plus Jakarta Sans" w:cs="Plus Jakarta Sans" w:eastAsia="Plus Jakarta Sans" w:hAnsi="Plus Jakarta Sans"/>
          <w:color w:val="53575B"/>
          <w:sz w:val="18"/>
          <w:szCs w:val="18"/>
        </w:rPr>
        <w:t xml:space="preserve">Every template sets the Office theme fonts so a document reflows if someone swaps them: major (headings) </w:t>
      </w:r>
      <w:r>
        <w:rPr>
          <w:rFonts w:ascii="Plus Jakarta Sans SemiBold" w:cs="Plus Jakarta Sans SemiBold" w:eastAsia="Plus Jakarta Sans SemiBold" w:hAnsi="Plus Jakarta Sans SemiBold"/>
          <w:color w:val="16181A"/>
          <w:sz w:val="18"/>
          <w:szCs w:val="18"/>
        </w:rPr>
        <w:t xml:space="preserve">Plus Jakarta Sans ExtraBold</w:t>
      </w:r>
      <w:r>
        <w:rPr>
          <w:rFonts w:ascii="Plus Jakarta Sans" w:cs="Plus Jakarta Sans" w:eastAsia="Plus Jakarta Sans" w:hAnsi="Plus Jakarta Sans"/>
          <w:color w:val="53575B"/>
          <w:sz w:val="18"/>
          <w:szCs w:val="18"/>
        </w:rPr>
        <w:t xml:space="preserve">, minor (body) </w:t>
      </w:r>
      <w:r>
        <w:rPr>
          <w:rFonts w:ascii="Plus Jakarta Sans SemiBold" w:cs="Plus Jakarta Sans SemiBold" w:eastAsia="Plus Jakarta Sans SemiBold" w:hAnsi="Plus Jakarta Sans SemiBold"/>
          <w:color w:val="16181A"/>
          <w:sz w:val="18"/>
          <w:szCs w:val="18"/>
        </w:rPr>
        <w:t xml:space="preserve">Plus Jakarta Sans</w:t>
      </w:r>
      <w:r>
        <w:rPr>
          <w:rFonts w:ascii="Plus Jakarta Sans" w:cs="Plus Jakarta Sans" w:eastAsia="Plus Jakarta Sans" w:hAnsi="Plus Jakarta Sans"/>
          <w:color w:val="53575B"/>
          <w:sz w:val="18"/>
          <w:szCs w:val="18"/>
        </w:rPr>
        <w:t xml:space="preserve">. Numbers, codes and labels are set explicitly in Geist Mono, outside the theme, so they survive a theme change.</w:t>
      </w:r>
    </w:p>
    <w:p>
      <w:pPr>
        <w:pStyle w:val="Heading1"/>
        <w:keepNext/>
        <w:pageBreakBefore/>
        <w:spacing w:after="60" w:before="0" w:line="320" w:lineRule="auto"/>
      </w:pPr>
      <w:bookmarkStart w:name="_Toc9000042" w:id="42"/>
      <w:r>
        <w:rPr>
          <w:rFonts w:ascii="Geist Mono" w:cs="Geist Mono" w:eastAsia="Geist Mono" w:hAnsi="Geist Mono"/>
          <w:b/>
          <w:bCs/>
          <w:color w:val="8E2222"/>
          <w:spacing w:val="-8"/>
          <w:sz w:val="44"/>
          <w:szCs w:val="44"/>
        </w:rPr>
        <w:t xml:space="preserve">11</w:t>
      </w:r>
      <w:r>
        <w:rPr>
          <w:rFonts w:ascii="Plus Jakarta Sans" w:cs="Plus Jakarta Sans" w:eastAsia="Plus Jakarta Sans" w:hAnsi="Plus Jakarta Sans"/>
          <w:color w:val="16181A"/>
          <w:sz w:val="44"/>
          <w:szCs w:val="44"/>
        </w:rPr>
        <w:t xml:space="preserve">  </w:t>
      </w:r>
      <w:r>
        <w:rPr>
          <w:rFonts w:ascii="Plus Jakarta Sans ExtraBold" w:cs="Plus Jakarta Sans ExtraBold" w:eastAsia="Plus Jakarta Sans ExtraBold" w:hAnsi="Plus Jakarta Sans ExtraBold"/>
          <w:color w:val="16181A"/>
          <w:spacing w:val="-26"/>
          <w:sz w:val="44"/>
          <w:szCs w:val="44"/>
        </w:rPr>
        <w:t xml:space="preserve">Files</w:t>
      </w:r>
      <w:bookmarkEnd w:id="42"/>
    </w:p>
    <w:p>
      <w:pPr>
        <w:pBdr>
          <w:bottom w:val="single" w:color="E2E3E0" w:sz="6" w:space="1"/>
        </w:pBdr>
        <w:spacing w:after="200" w:before="40" w:line="40" w:lineRule="exact"/>
      </w:pPr>
      <w:r>
        <w:rPr>
          <w:rFonts w:ascii="Plus Jakarta Sans" w:cs="Plus Jakarta Sans" w:eastAsia="Plus Jakarta Sans" w:hAnsi="Plus Jakarta Sans"/>
          <w:color w:val="16181A"/>
          <w:sz w:val="2"/>
          <w:szCs w:val="2"/>
        </w:rPr>
        <w:t xml:space="preserve"/>
      </w:r>
    </w:p>
    <w:p>
      <w:pPr>
        <w:spacing w:after="280" w:before="0" w:line="330" w:lineRule="auto"/>
      </w:pPr>
      <w:r>
        <w:rPr>
          <w:rFonts w:ascii="Plus Jakarta Sans" w:cs="Plus Jakarta Sans" w:eastAsia="Plus Jakarta Sans" w:hAnsi="Plus Jakarta Sans"/>
          <w:color w:val="53575B"/>
          <w:spacing w:val="-1"/>
          <w:sz w:val="22"/>
          <w:szCs w:val="22"/>
        </w:rPr>
        <w:t xml:space="preserve">Everything in the pack, and where it belongs.</w:t>
      </w:r>
    </w:p>
    <w:tbl>
      <w:tblPr>
        <w:tblW w:type="dxa" w:w="9412"/>
        <w:tblBorders>
          <w:top w:val="single" w:color="E2E3E0" w:sz="6" w:space="1"/>
          <w:left w:val="none" w:color="auto" w:sz="0" w:space="0"/>
          <w:bottom w:val="single" w:color="E2E3E0" w:sz="6" w:space="1"/>
          <w:right w:val="none" w:color="auto" w:sz="0" w:space="0"/>
          <w:insideH w:val="single" w:color="E2E3E0" w:sz="4" w:space="1"/>
          <w:insideV w:val="none" w:color="auto" w:sz="0" w:space="0"/>
        </w:tblBorders>
        <w:tblLayout w:type="fixed"/>
      </w:tblPr>
      <w:tblGrid>
        <w:gridCol w:w="3100"/>
        <w:gridCol w:w="6312"/>
      </w:tblGrid>
      <w:tr>
        <w:trPr>
          <w:cantSplit/>
          <w:tblHeader/>
        </w:trPr>
        <w:tc>
          <w:tcPr>
            <w:tcW w:type="dxa" w:w="3100"/>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Path</w:t>
            </w:r>
          </w:p>
        </w:tc>
        <w:tc>
          <w:tcPr>
            <w:tcW w:type="dxa" w:w="6312"/>
            <w:tcBorders>
              <w:left w:val="none" w:color="auto" w:sz="0" w:space="0"/>
              <w:bottom w:val="single" w:color="16181A" w:sz="8" w:space="0"/>
              <w:right w:val="none" w:color="auto" w:sz="0" w:space="0"/>
            </w:tcBorders>
            <w:shd w:fill="F4F4F1" w:color="auto" w:val="clear"/>
            <w:tcMar>
              <w:top w:type="dxa" w:w="70"/>
              <w:left w:type="dxa" w:w="90"/>
              <w:bottom w:type="dxa" w:w="70"/>
              <w:right w:type="dxa" w:w="90"/>
            </w:tcMar>
            <w:vAlign w:val="center"/>
          </w:tcPr>
          <w:p>
            <w:pPr>
              <w:spacing w:after="0" w:before="0" w:line="250" w:lineRule="auto"/>
            </w:pPr>
            <w:r>
              <w:rPr>
                <w:rFonts w:ascii="Plus Jakarta Sans SemiBold" w:cs="Plus Jakarta Sans SemiBold" w:eastAsia="Plus Jakarta Sans SemiBold" w:hAnsi="Plus Jakarta Sans SemiBold"/>
                <w:color w:val="16181A"/>
                <w:sz w:val="16"/>
                <w:szCs w:val="16"/>
              </w:rPr>
              <w:t xml:space="preserve">What ships there</w:t>
            </w:r>
          </w:p>
        </w:tc>
      </w:tr>
      <w:tr>
        <w:trPr>
          <w:cantSplit/>
        </w:trPr>
        <w:tc>
          <w:tcPr>
            <w:tcW w:type="dxa" w:w="31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tokens/baulynq-tokens.json</w:t>
            </w:r>
          </w:p>
        </w:tc>
        <w:tc>
          <w:tcPr>
            <w:tcW w:type="dxa" w:w="63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The source of truth. Every value in this manual comes from here.</w:t>
            </w:r>
          </w:p>
        </w:tc>
      </w:tr>
      <w:tr>
        <w:trPr>
          <w:cantSplit/>
        </w:trPr>
        <w:tc>
          <w:tcPr>
            <w:tcW w:type="dxa" w:w="31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css/baulynq-tokens.css</w:t>
            </w:r>
          </w:p>
        </w:tc>
        <w:tc>
          <w:tcPr>
            <w:tcW w:type="dxa" w:w="63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Generated custom properties and type primitives. Light, dark and prefers-color-scheme. Import before any component CSS.</w:t>
            </w:r>
          </w:p>
        </w:tc>
      </w:tr>
      <w:tr>
        <w:trPr>
          <w:cantSplit/>
        </w:trPr>
        <w:tc>
          <w:tcPr>
            <w:tcW w:type="dxa" w:w="31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logo/*.svg</w:t>
            </w:r>
          </w:p>
        </w:tc>
        <w:tc>
          <w:tcPr>
            <w:tcW w:type="dxa" w:w="63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The bare mark — the default logo, one file in currentColor — plus the name outlined at both weights, and the three badges (default, red, hairline) with the currentColor knockout for the exception cases.</w:t>
            </w:r>
          </w:p>
        </w:tc>
      </w:tr>
      <w:tr>
        <w:trPr>
          <w:cantSplit/>
        </w:trPr>
        <w:tc>
          <w:tcPr>
            <w:tcW w:type="dxa" w:w="31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logo/png/</w:t>
            </w:r>
          </w:p>
        </w:tc>
        <w:tc>
          <w:tcPr>
            <w:tcW w:type="dxa" w:w="63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48 rasters — the bare mark in ink and reversed, 32 to 2048 px square; every badge variant square from 32 up to 1024; and the name at both weights, 64–512 px high, in ink and reversed.</w:t>
            </w:r>
          </w:p>
        </w:tc>
      </w:tr>
      <w:tr>
        <w:trPr>
          <w:cantSplit/>
        </w:trPr>
        <w:tc>
          <w:tcPr>
            <w:tcW w:type="dxa" w:w="31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favicon/</w:t>
            </w:r>
          </w:p>
        </w:tc>
        <w:tc>
          <w:tcPr>
            <w:tcW w:type="dxa" w:w="63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16 / 32 / 48 / 180 / 192 / 512 px, light and dark, plus a maskable icon and favicon.svg.</w:t>
            </w:r>
          </w:p>
        </w:tc>
      </w:tr>
      <w:tr>
        <w:trPr>
          <w:cantSplit/>
        </w:trPr>
        <w:tc>
          <w:tcPr>
            <w:tcW w:type="dxa" w:w="31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fonts/</w:t>
            </w:r>
          </w:p>
        </w:tc>
        <w:tc>
          <w:tcPr>
            <w:tcW w:type="dxa" w:w="63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Static TTFs for Office, and the subset variable woff2 the web uses. The site and the app both self-host — no third-party font CDN, so no visitor IP leaves for Google and the CSP stays at font-src ‘self’.</w:t>
            </w:r>
          </w:p>
        </w:tc>
      </w:tr>
      <w:tr>
        <w:trPr>
          <w:cantSplit/>
        </w:trPr>
        <w:tc>
          <w:tcPr>
            <w:tcW w:type="dxa" w:w="31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templates/</w:t>
            </w:r>
          </w:p>
        </w:tc>
        <w:tc>
          <w:tcPr>
            <w:tcW w:type="dxa" w:w="63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The seven Office files listed in section 10.</w:t>
            </w:r>
          </w:p>
        </w:tc>
      </w:tr>
      <w:tr>
        <w:trPr>
          <w:cantSplit/>
        </w:trPr>
        <w:tc>
          <w:tcPr>
            <w:tcW w:type="dxa" w:w="3100"/>
            <w:tcMar>
              <w:top w:type="dxa" w:w="70"/>
              <w:left w:type="dxa" w:w="90"/>
              <w:bottom w:type="dxa" w:w="70"/>
              <w:right w:type="dxa" w:w="90"/>
            </w:tcMar>
            <w:vAlign w:val="center"/>
          </w:tcPr>
          <w:p>
            <w:pPr>
              <w:spacing w:after="0" w:before="0" w:line="250" w:lineRule="auto"/>
            </w:pPr>
            <w:r>
              <w:rPr>
                <w:rFonts w:ascii="Geist Mono" w:cs="Geist Mono" w:eastAsia="Geist Mono" w:hAnsi="Geist Mono"/>
                <w:color w:val="16181A"/>
                <w:sz w:val="16"/>
                <w:szCs w:val="16"/>
              </w:rPr>
              <w:t xml:space="preserve">BauLynq-Design-Language.html</w:t>
            </w:r>
          </w:p>
        </w:tc>
        <w:tc>
          <w:tcPr>
            <w:tcW w:type="dxa" w:w="6312"/>
            <w:tcMar>
              <w:top w:type="dxa" w:w="70"/>
              <w:left w:type="dxa" w:w="90"/>
              <w:bottom w:type="dxa" w:w="70"/>
              <w:right w:type="dxa" w:w="90"/>
            </w:tcMar>
            <w:vAlign w:val="center"/>
          </w:tcPr>
          <w:p>
            <w:pPr>
              <w:spacing w:after="0" w:before="0" w:line="250" w:lineRule="auto"/>
            </w:pPr>
            <w:r>
              <w:rPr>
                <w:rFonts w:ascii="Plus Jakarta Sans" w:cs="Plus Jakarta Sans" w:eastAsia="Plus Jakarta Sans" w:hAnsi="Plus Jakarta Sans"/>
                <w:color w:val="16181A"/>
                <w:sz w:val="17"/>
                <w:szCs w:val="17"/>
              </w:rPr>
              <w:t xml:space="preserve">The web edition of this manual — the same content, one scrolling page.</w:t>
            </w:r>
          </w:p>
        </w:tc>
      </w:tr>
    </w:tbl>
    <w:p>
      <w:pPr>
        <w:pStyle w:val="Heading2"/>
        <w:keepNext/>
        <w:keepLines/>
        <w:spacing w:after="100" w:before="300" w:line="280" w:lineRule="auto"/>
      </w:pPr>
      <w:bookmarkStart w:name="_Toc9000043" w:id="43"/>
      <w:r>
        <w:rPr>
          <w:rFonts w:ascii="Plus Jakarta Sans SemiBold" w:cs="Plus Jakarta Sans SemiBold" w:eastAsia="Plus Jakarta Sans SemiBold" w:hAnsi="Plus Jakarta Sans SemiBold"/>
          <w:color w:val="16181A"/>
          <w:spacing w:val="-6"/>
          <w:sz w:val="25"/>
          <w:szCs w:val="25"/>
        </w:rPr>
        <w:t xml:space="preserve">Using the tokens</w:t>
      </w:r>
      <w:bookmarkEnd w:id="43"/>
    </w:p>
    <w:p>
      <w:pPr>
        <w:spacing w:after="140" w:before="0" w:line="300" w:lineRule="auto"/>
      </w:pPr>
      <w:r>
        <w:rPr>
          <w:rFonts w:ascii="Plus Jakarta Sans" w:cs="Plus Jakarta Sans" w:eastAsia="Plus Jakarta Sans" w:hAnsi="Plus Jakarta Sans"/>
          <w:color w:val="53575B"/>
          <w:sz w:val="18"/>
          <w:szCs w:val="18"/>
        </w:rPr>
        <w:t xml:space="preserve">Import the generated CSS once, then reference variables — never literals.</w:t>
      </w:r>
    </w:p>
    <w:tbl>
      <w:tblPr>
        <w:tblW w:type="dxa" w:w="9412"/>
        <w:tblBorders>
          <w:top w:val="single" w:color="E2E3E0" w:sz="6" w:space="1"/>
          <w:left w:val="none" w:color="auto" w:sz="0" w:space="0"/>
          <w:bottom w:val="single" w:color="E2E3E0" w:sz="6" w:space="1"/>
          <w:right w:val="none" w:color="auto" w:sz="0" w:space="0"/>
          <w:insideH w:val="none" w:color="auto" w:sz="0" w:space="0"/>
          <w:insideV w:val="none" w:color="auto" w:sz="0" w:space="0"/>
        </w:tblBorders>
        <w:tblLayout w:type="fixed"/>
      </w:tblPr>
      <w:tblGrid>
        <w:gridCol w:w="9412"/>
      </w:tblGrid>
      <w:tr>
        <w:tc>
          <w:tcPr>
            <w:tcW w:type="dxa" w:w="9412"/>
            <w:tcBorders>
              <w:top w:val="none" w:color="auto" w:sz="0" w:space="0"/>
              <w:left w:val="none" w:color="auto" w:sz="0" w:space="0"/>
              <w:bottom w:val="none" w:color="auto" w:sz="0" w:space="0"/>
              <w:right w:val="none" w:color="auto" w:sz="0" w:space="0"/>
            </w:tcBorders>
            <w:shd w:fill="F4F4F1" w:color="auto" w:val="clear"/>
            <w:tcMar>
              <w:top w:type="dxa" w:w="140"/>
              <w:left w:type="dxa" w:w="160"/>
              <w:bottom w:type="dxa" w:w="140"/>
              <w:right w:type="dxa" w:w="160"/>
            </w:tcMar>
          </w:tcPr>
          <w:p>
            <w:pPr>
              <w:spacing w:after="0" w:before="0" w:line="250" w:lineRule="auto"/>
            </w:pPr>
            <w:r>
              <w:rPr>
                <w:rFonts w:ascii="Geist Mono" w:cs="Geist Mono" w:eastAsia="Geist Mono" w:hAnsi="Geist Mono"/>
                <w:color w:val="16181A"/>
                <w:sz w:val="15"/>
                <w:szCs w:val="15"/>
              </w:rPr>
              <w:t xml:space="preserve">&lt;link rel="stylesheet" href="/assets/css/baulynq-tokens.css"&gt;</w:t>
            </w:r>
          </w:p>
          <w:p>
            <w:pPr>
              <w:spacing w:after="0" w:before="0" w:line="250" w:lineRule="auto"/>
            </w:pPr>
            <w:r>
              <w:rPr>
                <w:rFonts w:ascii="Geist Mono" w:cs="Geist Mono" w:eastAsia="Geist Mono" w:hAnsi="Geist Mono"/>
                <w:color w:val="16181A"/>
                <w:sz w:val="15"/>
                <w:szCs w:val="15"/>
              </w:rPr>
              <w:t xml:space="preserve"> </w:t>
            </w:r>
          </w:p>
          <w:p>
            <w:pPr>
              <w:spacing w:after="0" w:before="0" w:line="250" w:lineRule="auto"/>
            </w:pPr>
            <w:r>
              <w:rPr>
                <w:rFonts w:ascii="Geist Mono" w:cs="Geist Mono" w:eastAsia="Geist Mono" w:hAnsi="Geist Mono"/>
                <w:color w:val="16181A"/>
                <w:sz w:val="15"/>
                <w:szCs w:val="15"/>
              </w:rPr>
              <w:t xml:space="preserve">.card {</w:t>
            </w:r>
          </w:p>
          <w:p>
            <w:pPr>
              <w:spacing w:after="0" w:before="0" w:line="250" w:lineRule="auto"/>
            </w:pPr>
            <w:r>
              <w:rPr>
                <w:rFonts w:ascii="Geist Mono" w:cs="Geist Mono" w:eastAsia="Geist Mono" w:hAnsi="Geist Mono"/>
                <w:color w:val="16181A"/>
                <w:sz w:val="15"/>
                <w:szCs w:val="15"/>
              </w:rPr>
              <w:t xml:space="preserve">  background: var(--bl-surface);</w:t>
            </w:r>
          </w:p>
          <w:p>
            <w:pPr>
              <w:spacing w:after="0" w:before="0" w:line="250" w:lineRule="auto"/>
            </w:pPr>
            <w:r>
              <w:rPr>
                <w:rFonts w:ascii="Geist Mono" w:cs="Geist Mono" w:eastAsia="Geist Mono" w:hAnsi="Geist Mono"/>
                <w:color w:val="16181A"/>
                <w:sz w:val="15"/>
                <w:szCs w:val="15"/>
              </w:rPr>
              <w:t xml:space="preserve">  border: 1px solid var(--bl-line);</w:t>
            </w:r>
          </w:p>
          <w:p>
            <w:pPr>
              <w:spacing w:after="0" w:before="0" w:line="250" w:lineRule="auto"/>
            </w:pPr>
            <w:r>
              <w:rPr>
                <w:rFonts w:ascii="Geist Mono" w:cs="Geist Mono" w:eastAsia="Geist Mono" w:hAnsi="Geist Mono"/>
                <w:color w:val="16181A"/>
                <w:sz w:val="15"/>
                <w:szCs w:val="15"/>
              </w:rPr>
              <w:t xml:space="preserve">  border-radius: var(--bl-r-lg);</w:t>
            </w:r>
          </w:p>
          <w:p>
            <w:pPr>
              <w:spacing w:after="0" w:before="0" w:line="250" w:lineRule="auto"/>
            </w:pPr>
            <w:r>
              <w:rPr>
                <w:rFonts w:ascii="Geist Mono" w:cs="Geist Mono" w:eastAsia="Geist Mono" w:hAnsi="Geist Mono"/>
                <w:color w:val="16181A"/>
                <w:sz w:val="15"/>
                <w:szCs w:val="15"/>
              </w:rPr>
              <w:t xml:space="preserve">  color: var(--bl-ink);</w:t>
            </w:r>
          </w:p>
          <w:p>
            <w:pPr>
              <w:spacing w:after="0" w:before="0" w:line="250" w:lineRule="auto"/>
            </w:pPr>
            <w:r>
              <w:rPr>
                <w:rFonts w:ascii="Geist Mono" w:cs="Geist Mono" w:eastAsia="Geist Mono" w:hAnsi="Geist Mono"/>
                <w:color w:val="16181A"/>
                <w:sz w:val="15"/>
                <w:szCs w:val="15"/>
              </w:rPr>
              <w:t xml:space="preserve">}</w:t>
            </w:r>
          </w:p>
          <w:p>
            <w:pPr>
              <w:spacing w:after="0" w:before="0" w:line="250" w:lineRule="auto"/>
            </w:pPr>
            <w:r>
              <w:rPr>
                <w:rFonts w:ascii="Geist Mono" w:cs="Geist Mono" w:eastAsia="Geist Mono" w:hAnsi="Geist Mono"/>
                <w:color w:val="16181A"/>
                <w:sz w:val="15"/>
                <w:szCs w:val="15"/>
              </w:rPr>
              <w:t xml:space="preserve">.card .value {</w:t>
            </w:r>
          </w:p>
          <w:p>
            <w:pPr>
              <w:spacing w:after="0" w:before="0" w:line="250" w:lineRule="auto"/>
            </w:pPr>
            <w:r>
              <w:rPr>
                <w:rFonts w:ascii="Geist Mono" w:cs="Geist Mono" w:eastAsia="Geist Mono" w:hAnsi="Geist Mono"/>
                <w:color w:val="16181A"/>
                <w:sz w:val="15"/>
                <w:szCs w:val="15"/>
              </w:rPr>
              <w:t xml:space="preserve">  font: var(--bl-w-semibold) var(--bl-fs-data)/var(--bl-lh-data) var(--bl-mono);</w:t>
            </w:r>
          </w:p>
          <w:p>
            <w:pPr>
              <w:spacing w:after="0" w:before="0" w:line="250" w:lineRule="auto"/>
            </w:pPr>
            <w:r>
              <w:rPr>
                <w:rFonts w:ascii="Geist Mono" w:cs="Geist Mono" w:eastAsia="Geist Mono" w:hAnsi="Geist Mono"/>
                <w:color w:val="16181A"/>
                <w:sz w:val="15"/>
                <w:szCs w:val="15"/>
              </w:rPr>
              <w:t xml:space="preserve">  font-variant-numeric: tabular-nums;</w:t>
            </w:r>
          </w:p>
          <w:p>
            <w:pPr>
              <w:spacing w:after="0" w:before="0" w:line="250" w:lineRule="auto"/>
            </w:pPr>
            <w:r>
              <w:rPr>
                <w:rFonts w:ascii="Geist Mono" w:cs="Geist Mono" w:eastAsia="Geist Mono" w:hAnsi="Geist Mono"/>
                <w:color w:val="16181A"/>
                <w:sz w:val="15"/>
                <w:szCs w:val="15"/>
              </w:rPr>
              <w:t xml:space="preserve">}</w:t>
            </w:r>
          </w:p>
        </w:tc>
      </w:tr>
    </w:tbl>
    <w:p>
      <w:pPr>
        <w:spacing w:after="240" w:before="60" w:line="260" w:lineRule="auto"/>
      </w:pPr>
      <w:r>
        <w:rPr>
          <w:rFonts w:ascii="Plus Jakarta Sans" w:cs="Plus Jakarta Sans" w:eastAsia="Plus Jakarta Sans" w:hAnsi="Plus Jakarta Sans"/>
          <w:color w:val="53575B"/>
          <w:sz w:val="15"/>
          <w:szCs w:val="15"/>
        </w:rPr>
        <w:t xml:space="preserve">Regenerate the CSS from the JSON rather than editing it. Change a value in one place and everything downstream follows.</w:t>
      </w:r>
    </w:p>
    <w:p>
      <w:pPr>
        <w:pBdr>
          <w:bottom w:val="single" w:color="E2E3E0" w:sz="6" w:space="1"/>
        </w:pBdr>
        <w:spacing w:after="180" w:before="360" w:line="40" w:lineRule="exact"/>
      </w:pPr>
      <w:r>
        <w:rPr>
          <w:rFonts w:ascii="Plus Jakarta Sans" w:cs="Plus Jakarta Sans" w:eastAsia="Plus Jakarta Sans" w:hAnsi="Plus Jakarta Sans"/>
          <w:color w:val="16181A"/>
          <w:sz w:val="2"/>
          <w:szCs w:val="2"/>
        </w:rPr>
        <w:t xml:space="preserve"/>
      </w:r>
    </w:p>
    <w:p>
      <w:pPr>
        <w:spacing w:after="60" w:before="0" w:line="300" w:lineRule="auto"/>
      </w:pPr>
      <w:r>
        <w:rPr>
          <w:rFonts w:ascii="Geist Mono" w:cs="Geist Mono" w:eastAsia="Geist Mono" w:hAnsi="Geist Mono"/>
          <w:color w:val="53575B"/>
          <w:sz w:val="15"/>
          <w:szCs w:val="15"/>
        </w:rPr>
        <w:t xml:space="preserve">BauLynq Design Language · Version 2.0 · 29.07.2026</w:t>
      </w:r>
    </w:p>
    <w:p>
      <w:pPr>
        <w:spacing w:after="60" w:before="0" w:line="300" w:lineRule="auto"/>
      </w:pPr>
      <w:r>
        <w:rPr>
          <w:rFonts w:ascii="Geist Mono" w:cs="Geist Mono" w:eastAsia="Geist Mono" w:hAnsi="Geist Mono"/>
          <w:color w:val="8C9095"/>
          <w:sz w:val="15"/>
          <w:szCs w:val="15"/>
        </w:rPr>
        <w:t xml:space="preserve">Plus Jakarta Sans &amp; Geist Mono — SIL Open Font License 1.1</w:t>
      </w:r>
    </w:p>
    <w:p>
      <w:pPr>
        <w:spacing w:after="0" w:before="0" w:line="300" w:lineRule="auto"/>
      </w:pPr>
      <w:r>
        <w:rPr>
          <w:rFonts w:ascii="Geist Mono" w:cs="Geist Mono" w:eastAsia="Geist Mono" w:hAnsi="Geist Mono"/>
          <w:color w:val="8C9095"/>
          <w:sz w:val="15"/>
          <w:szCs w:val="15"/>
        </w:rPr>
        <w:t xml:space="preserve">Mohamad El Ejel · eng.mejel1@gmail.com · www.baulynq.com</w:t>
      </w:r>
    </w:p>
    <w:sectPr>
      <w:footerReference w:type="default" r:id="rId7"/>
      <w:pgSz w:w="11906" w:h="16838" w:orient="portrait"/>
      <w:pgMar w:top="1133" w:right="1247" w:bottom="1247" w:left="1247" w:header="720" w:footer="737" w:gutter="0"/>
      <w:pgNumType w:start="2"/>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2E3E0" w:sz="4" w:space="8"/>
      </w:pBdr>
      <w:tabs>
        <w:tab w:val="right" w:pos="9412"/>
      </w:tabs>
      <w:spacing w:after="0" w:before="0" w:line="240" w:lineRule="auto"/>
    </w:pPr>
    <w:r>
      <w:rPr>
        <w:rFonts w:ascii="Geist Mono" w:cs="Geist Mono" w:eastAsia="Geist Mono" w:hAnsi="Geist Mono"/>
        <w:color w:val="8C9095"/>
        <w:sz w:val="16"/>
        <w:szCs w:val="16"/>
      </w:rPr>
      <w:t xml:space="preserve">BauLynq Design Language · Version 2.0</w:t>
    </w:r>
    <w:r>
      <w:tab/>
    </w:r>
    <w:r>
      <w:rPr>
        <w:rFonts w:ascii="Geist Mono" w:cs="Geist Mono" w:eastAsia="Geist Mono" w:hAnsi="Geist Mono"/>
        <w:color w:val="8C9095"/>
        <w:sz w:val="16"/>
        <w:szCs w:val="16"/>
      </w:rPr>
      <w:t xml:space="preserve">Page </w:t>
    </w:r>
    <w:r>
      <w:rPr>
        <w:rFonts w:ascii="Geist Mono" w:cs="Geist Mono" w:eastAsia="Geist Mono" w:hAnsi="Geist Mono"/>
        <w:color w:val="8C9095"/>
        <w:sz w:val="16"/>
        <w:szCs w:val="16"/>
      </w:rPr>
      <w:fldChar w:fldCharType="begin"/>
      <w:instrText xml:space="preserve">PAGE</w:instrText>
      <w:fldChar w:fldCharType="separate"/>
      <w:fldChar w:fldCharType="end"/>
    </w:r>
    <w:r>
      <w:rPr>
        <w:rFonts w:ascii="Geist Mono" w:cs="Geist Mono" w:eastAsia="Geist Mono" w:hAnsi="Geist Mono"/>
        <w:color w:val="8C9095"/>
        <w:sz w:val="16"/>
        <w:szCs w:val="16"/>
      </w:rPr>
      <w:t xml:space="preserve"> of </w:t>
    </w:r>
    <w:r>
      <w:rPr>
        <w:rFonts w:ascii="Geist Mono" w:cs="Geist Mono" w:eastAsia="Geist Mono" w:hAnsi="Geist Mono"/>
        <w:color w:val="8C9095"/>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60" w:hanging="200"/>
      </w:pPr>
      <w:rPr>
        <w:rFonts w:ascii="Geist Mono" w:cs="Geist Mono" w:eastAsia="Geist Mono" w:hAnsi="Geist Mono"/>
        <w:color w:val="8C9095"/>
        <w:sz w:val="17"/>
        <w:szCs w:val="17"/>
      </w:rPr>
    </w:lvl>
  </w:abstractNum>
  <w:abstractNum w:abstractNumId="3" w15:restartNumberingAfterBreak="0">
    <w:multiLevelType w:val="hybridMultilevel"/>
    <w:lvl w:ilvl="0" w15:tentative="1">
      <w:start w:val="1"/>
      <w:numFmt w:val="bullet"/>
      <w:lvlText w:val="–"/>
      <w:lvlJc w:val="left"/>
      <w:pPr>
        <w:ind w:left="260" w:hanging="200"/>
      </w:pPr>
      <w:rPr>
        <w:rFonts w:ascii="Geist Mono" w:cs="Geist Mono" w:eastAsia="Geist Mono" w:hAnsi="Geist Mono"/>
        <w:color w:val="8C9095"/>
        <w:sz w:val="17"/>
        <w:szCs w:val="17"/>
      </w:r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val="tru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lus Jakarta Sans" w:cs="Plus Jakarta Sans" w:eastAsia="Plus Jakarta Sans" w:hAnsi="Plus Jakarta Sans" w:asciiTheme="minorHAnsi" w:hAnsiTheme="minorHAnsi"/>
        <w:color w:val="16181A"/>
        <w:sz w:val="19"/>
        <w:szCs w:val="19"/>
      </w:rPr>
    </w:rPrDefault>
    <w:pPrDefault>
      <w:pPr>
        <w:spacing w:after="120" w:line="300"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keepNext/>
      <w:spacing w:after="60" w:before="0" w:line="320" w:lineRule="auto"/>
      <w:outlineLvl w:val="0"/>
    </w:pPr>
    <w:rPr>
      <w:rFonts w:ascii="Plus Jakarta Sans ExtraBold" w:cs="Plus Jakarta Sans ExtraBold" w:eastAsia="Plus Jakarta Sans ExtraBold" w:hAnsi="Plus Jakarta Sans ExtraBold"/>
      <w:b w:val="false"/>
      <w:bCs w:val="false"/>
      <w:color w:val="16181A"/>
      <w:spacing w:val="-26"/>
      <w:sz w:val="44"/>
      <w:szCs w:val="44"/>
    </w:rPr>
  </w:style>
  <w:style w:type="paragraph" w:styleId="Heading2">
    <w:name w:val="Heading 2"/>
    <w:basedOn w:val="Normal"/>
    <w:next w:val="Normal"/>
    <w:qFormat/>
    <w:pPr>
      <w:keepNext/>
      <w:keepLines/>
      <w:spacing w:after="100" w:before="300" w:line="280" w:lineRule="auto"/>
      <w:outlineLvl w:val="1"/>
    </w:pPr>
    <w:rPr>
      <w:rFonts w:ascii="Plus Jakarta Sans SemiBold" w:cs="Plus Jakarta Sans SemiBold" w:eastAsia="Plus Jakarta Sans SemiBold" w:hAnsi="Plus Jakarta Sans SemiBold"/>
      <w:b w:val="false"/>
      <w:bCs w:val="false"/>
      <w:color w:val="16181A"/>
      <w:spacing w:val="-6"/>
      <w:sz w:val="25"/>
      <w:szCs w:val="25"/>
    </w:rPr>
  </w:style>
  <w:style w:type="paragraph" w:styleId="Heading3">
    <w:name w:val="Heading 3"/>
    <w:basedOn w:val="Normal"/>
    <w:next w:val="Normal"/>
    <w:qFormat/>
    <w:pPr>
      <w:keepNext/>
      <w:keepLines/>
      <w:spacing w:after="70" w:before="220" w:line="260" w:lineRule="auto"/>
      <w:outlineLvl w:val="2"/>
    </w:pPr>
    <w:rPr>
      <w:rFonts w:ascii="Plus Jakarta Sans SemiBold" w:cs="Plus Jakarta Sans SemiBold" w:eastAsia="Plus Jakarta Sans SemiBold" w:hAnsi="Plus Jakarta Sans SemiBold"/>
      <w:b w:val="false"/>
      <w:bCs w:val="false"/>
      <w:color w:val="16181A"/>
      <w:spacing w:val="-4"/>
      <w:sz w:val="20"/>
      <w:szCs w:val="20"/>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16181A"/>
      <w:u w:val="non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OC1">
    <w:name w:val="toc 1"/>
    <w:basedOn w:val="Normal"/>
    <w:next w:val="Normal"/>
    <w:pPr>
      <w:spacing w:after="20" w:before="180" w:line="260" w:lineRule="auto"/>
    </w:pPr>
    <w:rPr>
      <w:rFonts w:ascii="Plus Jakarta Sans SemiBold" w:cs="Plus Jakarta Sans SemiBold" w:eastAsia="Plus Jakarta Sans SemiBold" w:hAnsi="Plus Jakarta Sans SemiBold"/>
      <w:color w:val="16181A"/>
      <w:sz w:val="20"/>
      <w:szCs w:val="20"/>
    </w:rPr>
  </w:style>
  <w:style w:type="paragraph" w:styleId="TOC2">
    <w:name w:val="toc 2"/>
    <w:basedOn w:val="Normal"/>
    <w:next w:val="Normal"/>
    <w:pPr>
      <w:spacing w:after="20" w:before="0" w:line="250" w:lineRule="auto"/>
      <w:ind w:left="340"/>
    </w:pPr>
    <w:rPr>
      <w:rFonts w:ascii="Plus Jakarta Sans" w:cs="Plus Jakarta Sans" w:eastAsia="Plus Jakarta Sans" w:hAnsi="Plus Jakarta Sans"/>
      <w:color w:val="53575B"/>
      <w:sz w:val="17"/>
      <w:szCs w:val="17"/>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7af76453b46fd58d9638732e93f7285426eb66c5.png"/><Relationship Id="rId9" Type="http://schemas.openxmlformats.org/officeDocument/2006/relationships/image" Target="media/31fd452c33d9e58271a95a24fa1f69138c184a89.png"/><Relationship Id="rId10" Type="http://schemas.openxmlformats.org/officeDocument/2006/relationships/image" Target="media/d0b03e7576e583c1e62f43734aa18da61c22dbca.png"/><Relationship Id="rId11" Type="http://schemas.openxmlformats.org/officeDocument/2006/relationships/image" Target="media/2ec847b3b0552dc66f8bf93bebc901a82eaed140.png"/><Relationship Id="rId12" Type="http://schemas.openxmlformats.org/officeDocument/2006/relationships/image" Target="media/48ae95539ade710a5e983598f0071dd49005bfab.png"/><Relationship Id="rId13" Type="http://schemas.openxmlformats.org/officeDocument/2006/relationships/image" Target="media/b742a05f2198f793f785da5ea3446a7e75c339d7.png"/><Relationship Id="rId14" Type="http://schemas.openxmlformats.org/officeDocument/2006/relationships/image" Target="media/a190929c4510b41f189e7191649c1b140327f26b.png"/><Relationship Id="rId15" Type="http://schemas.openxmlformats.org/officeDocument/2006/relationships/image" Target="media/dcb3659f3696a6706c1287f7ce35833018f0399f.png"/><Relationship Id="rId16" Type="http://schemas.openxmlformats.org/officeDocument/2006/relationships/image" Target="media/ea0e5c19540ad10de17f4d7b9dbf13b4eec7f79c.png"/><Relationship Id="rId17" Type="http://schemas.openxmlformats.org/officeDocument/2006/relationships/fontTable" Target="fontTable.xml"/><Relationship Id="rId18" Type="http://schemas.openxmlformats.org/officeDocument/2006/relationships/theme" Target="theme/theme1.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theme/theme1.xml><?xml version="1.0" encoding="utf-8"?>
<a:theme xmlns:a="http://schemas.openxmlformats.org/drawingml/2006/main" name="BauLynq">
  <a:themeElements>
    <a:clrScheme name="BauLynq">
      <a:dk1>
        <a:srgbClr val="16181A"/>
      </a:dk1>
      <a:lt1>
        <a:srgbClr val="FFFFFF"/>
      </a:lt1>
      <a:dk2>
        <a:srgbClr val="53575B"/>
      </a:dk2>
      <a:lt2>
        <a:srgbClr val="F4F4F1"/>
      </a:lt2>
      <a:accent1>
        <a:srgbClr val="8E2222"/>
      </a:accent1>
      <a:accent2>
        <a:srgbClr val="A09BFF"/>
      </a:accent2>
      <a:accent3>
        <a:srgbClr val="007A4B"/>
      </a:accent3>
      <a:accent4>
        <a:srgbClr val="60A6FF"/>
      </a:accent4>
      <a:accent5>
        <a:srgbClr val="9B6000"/>
      </a:accent5>
      <a:accent6>
        <a:srgbClr val="DE75B4"/>
      </a:accent6>
      <a:hlink>
        <a:srgbClr val="286CBE"/>
      </a:hlink>
      <a:folHlink>
        <a:srgbClr val="8C9095"/>
      </a:folHlink>
    </a:clrScheme>
    <a:fontScheme name="BauLynq">
      <a:majorFont>
        <a:latin typeface="Plus Jakarta Sans ExtraBold"/>
        <a:ea typeface=""/>
        <a:cs typeface=""/>
      </a:majorFont>
      <a:minorFont>
        <a:latin typeface="Plus Jakarta Sans"/>
        <a:ea typeface=""/>
        <a:cs typeface=""/>
      </a:minorFont>
    </a:fontScheme>
    <a:fmtScheme name="BauLynq">
      <a:fillStyleLst>
        <a:solidFill>
          <a:schemeClr val="phClr"/>
        </a:solidFill>
        <a:solidFill>
          <a:schemeClr val="phClr"/>
        </a:solidFill>
        <a:solidFill>
          <a:schemeClr val="phClr"/>
        </a:solidFill>
      </a:fillStyleLst>
      <a:lnStyleLst>
        <a:ln w="6350" cap="flat" cmpd="sng" algn="ctr">
          <a:solidFill>
            <a:schemeClr val="phClr"/>
          </a:solidFill>
          <a:prstDash val="solid"/>
        </a:ln>
        <a:ln w="9525" cap="flat" cmpd="sng" algn="ctr">
          <a:solidFill>
            <a:schemeClr val="phClr"/>
          </a:solidFill>
          <a:prstDash val="solid"/>
        </a:ln>
        <a:ln w="127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BauLynq Design Language — Version 2.0</dc:title>
  <dc:creator>BauLynq</dc:creator>
  <dc:description>The BauLynq design language: logo, typography, colour, data visualisation, layout, components, motion, voice and documents.</dc:description>
  <cp:lastModifiedBy>Un-named</cp:lastModifiedBy>
  <cp:revision>1</cp:revision>
  <dcterms:created xsi:type="dcterms:W3CDTF">2026-07-30T09:20:43.221Z</dcterms:created>
  <dcterms:modified xsi:type="dcterms:W3CDTF">2026-07-30T09:20:43.221Z</dcterms:modified>
</cp:coreProperties>
</file>

<file path=docProps/custom.xml><?xml version="1.0" encoding="utf-8"?>
<Properties xmlns="http://schemas.openxmlformats.org/officeDocument/2006/custom-properties" xmlns:vt="http://schemas.openxmlformats.org/officeDocument/2006/docPropsVTypes"/>
</file>