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theme+xml" PartName="/word/theme/theme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906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</w:tblPr>
      <w:tblGrid>
        <w:gridCol w:w="11906"/>
      </w:tblGrid>
      <w:tr>
        <w:trPr>
          <w:cantSplit/>
          <w:trHeight w:val="6735" w:hRule="atLeast"/>
        </w:trPr>
        <w:tc>
          <w:tcPr>
            <w:tcW w:type="dxa" w:w="11906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0B0D10" w:color="auto" w:val="clear"/>
            <w:tcMar>
              <w:top w:type="dxa" w:w="1814"/>
              <w:left w:type="dxa" w:w="1247"/>
              <w:bottom w:type="dxa" w:w="1134"/>
              <w:right w:type="dxa" w:w="1247"/>
            </w:tcMar>
            <w:vAlign w:val="top"/>
          </w:tcPr>
          <w:tbl>
            <w:tblPr>
              <w:tblW w:type="dxa" w:w="9412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type="dxa" w:w="0"/>
                <w:left w:type="dxa" w:w="0"/>
                <w:bottom w:type="dxa" w:w="0"/>
                <w:right w:type="dxa" w:w="0"/>
              </w:tblCellMar>
            </w:tblPr>
            <w:tblGrid>
              <w:gridCol w:w="3000"/>
              <w:gridCol w:w="6412"/>
            </w:tblGrid>
            <w:tr>
              <w:trPr>
                <w:cantSplit/>
              </w:trPr>
              <w:tc>
                <w:tcPr>
                  <w:tcW w:type="dxa" w:w="3000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tcBorders>
                  <w:tcMar>
                    <w:top w:type="dxa" w:w="0"/>
                    <w:left w:type="dxa" w:w="0"/>
                    <w:bottom w:type="dxa" w:w="0"/>
                    <w:right w:type="dxa" w:w="0"/>
                  </w:tcMar>
                  <w:vAlign w:val="center"/>
                </w:tcPr>
                <w:p>
                  <w:pPr>
                    <w:spacing w:after="0" w:before="0" w:line="820" w:lineRule="atLeast"/>
                  </w:pPr>
                  <w:r>
                    <w:drawing>
                      <wp:inline distT="0" distB="0" distL="0" distR="0">
                        <wp:extent cx="508000" cy="508000"/>
                        <wp:effectExtent t="0" r="0" b="0" l="0"/>
                        <wp:docPr id="1" name="BauLynq Mark" descr="BauLynq Mark" title="BauLynq Mar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uLynq Mark" descr="BauLynq Mar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00" cy="508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type="dxa" w:w="6412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tcBorders>
                  <w:tcMar>
                    <w:top w:type="dxa" w:w="0"/>
                    <w:left w:type="dxa" w:w="0"/>
                    <w:bottom w:type="dxa" w:w="0"/>
                    <w:right w:type="dxa" w:w="0"/>
                  </w:tcMar>
                  <w:vAlign w:val="center"/>
                </w:tcPr>
                <w:p>
                  <w:pPr>
                    <w:spacing w:after="0" w:before="0" w:line="520"/>
                    <w:jc w:val="right"/>
                  </w:pPr>
                  <w:r>
                    <w:rPr>
                      <w:rFonts w:ascii="Plus Jakarta Sans ExtraBold" w:cs="Plus Jakarta Sans ExtraBold" w:eastAsia="Plus Jakarta Sans ExtraBold" w:hAnsi="Plus Jakarta Sans ExtraBold"/>
                      <w:b w:val="false"/>
                      <w:bCs w:val="false"/>
                      <w:i w:val="false"/>
                      <w:iCs w:val="false"/>
                      <w:color w:val="F7F7F5"/>
                      <w:spacing w:val="-12"/>
                      <w:sz w:val="40"/>
                      <w:szCs w:val="40"/>
                    </w:rPr>
                    <w:t xml:space="preserve">BauLynq</w:t>
                  </w:r>
                </w:p>
              </w:tc>
            </w:tr>
          </w:tbl>
          <w:p>
            <w:pPr>
              <w:spacing w:after="0" w:before="0" w:line="20" w:lineRule="exact"/>
            </w:pPr>
          </w:p>
          <w:p>
            <w:pPr>
              <w:spacing w:after="0" w:before="0" w:line="1920" w:lineRule="exact"/>
            </w:pPr>
          </w:p>
          <w:p>
            <w:pPr>
              <w:spacing w:after="120" w:before="0" w:line="240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9AA0A6"/>
                <w:spacing w:val="24"/>
                <w:sz w:val="15"/>
                <w:szCs w:val="15"/>
              </w:rPr>
              <w:t xml:space="preserve">ReportsX · Projektdokumentation</w:t>
            </w:r>
          </w:p>
          <w:p>
            <w:pPr>
              <w:spacing w:after="0" w:before="0" w:line="300"/>
            </w:pPr>
            <w:r>
              <w:rPr>
                <w:rFonts w:ascii="Plus Jakarta Sans Medium" w:cs="Plus Jakarta Sans Medium" w:eastAsia="Plus Jakarta Sans Medium" w:hAnsi="Plus Jakarta Sans Medium"/>
                <w:b w:val="false"/>
                <w:bCs w:val="false"/>
                <w:i w:val="false"/>
                <w:iCs w:val="false"/>
                <w:color w:val="F7F7F5"/>
                <w:spacing w:val="-6"/>
                <w:sz w:val="26"/>
                <w:szCs w:val="26"/>
              </w:rPr>
              <w:t xml:space="preserve">„Ein Projekt. Ein Datensatz.“</w:t>
            </w:r>
          </w:p>
        </w:tc>
      </w:tr>
    </w:tbl>
    <w:p>
      <w:pPr>
        <w:spacing w:after="0" w:before="0" w:line="920" w:lineRule="exact"/>
      </w:pPr>
    </w:p>
    <w:p>
      <w:pPr>
        <w:spacing w:after="200" w:before="0" w:line="240"/>
        <w:ind w:left="1247" w:right="1247"/>
      </w:pPr>
      <w:r>
        <w:rPr>
          <w:rFonts w:ascii="Geist Mono" w:cs="Geist Mono" w:eastAsia="Geist Mono" w:hAnsi="Geist Mono"/>
          <w:b/>
          <w:bCs/>
          <w:caps/>
          <w:color w:val="8E2222"/>
          <w:spacing w:val="24"/>
          <w:sz w:val="15"/>
          <w:szCs w:val="15"/>
        </w:rPr>
        <w:t xml:space="preserve">Bericht Nr. 2026-Q3-02</w:t>
      </w:r>
    </w:p>
    <w:p>
      <w:pPr>
        <w:pStyle w:val="BauLynqTitel"/>
        <w:spacing w:after="120" w:before="0" w:line="920" w:lineRule="atLeast"/>
        <w:ind w:left="1247" w:right="1247"/>
      </w:pPr>
      <w:r>
        <w:rPr>
          <w:rFonts w:ascii="Plus Jakarta Sans ExtraBold" w:cs="Plus Jakarta Sans ExtraBold" w:eastAsia="Plus Jakarta Sans ExtraBold" w:hAnsi="Plus Jakarta Sans ExtraBold"/>
          <w:b w:val="false"/>
          <w:bCs w:val="false"/>
          <w:i w:val="false"/>
          <w:iCs w:val="false"/>
          <w:color w:val="16181A"/>
          <w:spacing w:val="-24"/>
          <w:sz w:val="80"/>
          <w:szCs w:val="80"/>
        </w:rPr>
        <w:t xml:space="preserve">Projektbericht</w:t>
      </w:r>
    </w:p>
    <w:p>
      <w:pPr>
        <w:spacing w:after="560" w:before="0" w:line="280"/>
        <w:ind w:left="1247" w:right="1247"/>
      </w:pPr>
      <w:r>
        <w:rPr>
          <w:rFonts w:ascii="Plus Jakarta Sans Medium" w:cs="Plus Jakarta Sans Medium" w:eastAsia="Plus Jakarta Sans Medium" w:hAnsi="Plus Jakarta Sans Medium"/>
          <w:b w:val="false"/>
          <w:bCs w:val="false"/>
          <w:i w:val="false"/>
          <w:iCs w:val="false"/>
          <w:color w:val="53575B"/>
          <w:spacing w:val="-9"/>
          <w:sz w:val="30"/>
          <w:szCs w:val="30"/>
        </w:rPr>
        <w:t xml:space="preserve">Quartier Nord — Bauabschnitt 2</w:t>
      </w:r>
    </w:p>
    <w:tbl>
      <w:tblPr>
        <w:tblW w:type="dxa" w:w="9412"/>
        <w:tblInd w:type="dxa" w:w="1247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</w:tblPr>
      <w:tblGrid>
        <w:gridCol w:w="2600"/>
        <w:gridCol w:w="6812"/>
      </w:tblGrid>
      <w:tr>
        <w:trPr>
          <w:cantSplit/>
        </w:trPr>
        <w:tc>
          <w:tcPr>
            <w:tcW w:type="dxa" w:w="2600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12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Projekt-Nr.</w:t>
            </w:r>
          </w:p>
        </w:tc>
        <w:tc>
          <w:tcPr>
            <w:tcW w:type="dxa" w:w="6812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20"/>
                <w:szCs w:val="20"/>
              </w:rPr>
              <w:t xml:space="preserve">QN-2-0418</w:t>
            </w:r>
          </w:p>
        </w:tc>
      </w:tr>
      <w:tr>
        <w:trPr>
          <w:cantSplit/>
        </w:trPr>
        <w:tc>
          <w:tcPr>
            <w:tcW w:type="dxa" w:w="2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12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Auftraggeber</w:t>
            </w:r>
          </w:p>
        </w:tc>
        <w:tc>
          <w:tcPr>
            <w:tcW w:type="dxa" w:w="68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20"/>
                <w:szCs w:val="20"/>
              </w:rPr>
              <w:t xml:space="preserve">Stadtwerke Hannover Projektentwicklung GmbH</w:t>
            </w:r>
          </w:p>
        </w:tc>
      </w:tr>
      <w:tr>
        <w:trPr>
          <w:cantSplit/>
        </w:trPr>
        <w:tc>
          <w:tcPr>
            <w:tcW w:type="dxa" w:w="2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12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Berichtszeitraum</w:t>
            </w:r>
          </w:p>
        </w:tc>
        <w:tc>
          <w:tcPr>
            <w:tcW w:type="dxa" w:w="68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20"/>
                <w:szCs w:val="20"/>
              </w:rPr>
              <w:t xml:space="preserve">01.07.JJJJ – 31.07.JJJJ</w:t>
            </w:r>
          </w:p>
        </w:tc>
      </w:tr>
      <w:tr>
        <w:trPr>
          <w:cantSplit/>
        </w:trPr>
        <w:tc>
          <w:tcPr>
            <w:tcW w:type="dxa" w:w="2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12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Erstellt von</w:t>
            </w:r>
          </w:p>
        </w:tc>
        <w:tc>
          <w:tcPr>
            <w:tcW w:type="dxa" w:w="68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20"/>
                <w:szCs w:val="20"/>
              </w:rPr>
              <w:t xml:space="preserve">Mohamad El Ejel, Geschäftsführer</w:t>
            </w:r>
          </w:p>
        </w:tc>
      </w:tr>
      <w:tr>
        <w:trPr>
          <w:cantSplit/>
        </w:trPr>
        <w:tc>
          <w:tcPr>
            <w:tcW w:type="dxa" w:w="2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12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Datum</w:t>
            </w:r>
          </w:p>
        </w:tc>
        <w:tc>
          <w:tcPr>
            <w:tcW w:type="dxa" w:w="68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20"/>
              <w:left w:type="dxa" w:w="0"/>
              <w:bottom w:type="dxa" w:w="120"/>
              <w:right w:type="dxa" w:w="0"/>
            </w:tcMar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20"/>
                <w:szCs w:val="20"/>
              </w:rPr>
              <w:t xml:space="preserve">TT.MM.JJJJ</w:t>
            </w:r>
          </w:p>
        </w:tc>
      </w:tr>
    </w:tbl>
    <w:p>
      <w:pPr>
        <w:sectPr>
          <w:pgSz w:w="11906" w:h="16838" w:orient="portrait"/>
          <w:pgMar w:top="0" w:right="0" w:bottom="0" w:left="0" w:header="0" w:footer="0" w:gutter="0"/>
          <w:pgNumType/>
          <w:docGrid w:linePitch="360"/>
        </w:sectPr>
      </w:pPr>
    </w:p>
    <w:p>
      <w:pPr>
        <w:pBdr>
          <w:bottom w:val="single" w:color="E2E3E0" w:sz="6" w:space="1"/>
        </w:pBdr>
        <w:spacing w:after="240" w:before="0" w:line="264"/>
      </w:pPr>
      <w:r>
        <w:rPr>
          <w:rFonts w:ascii="Plus Jakarta Sans ExtraBold" w:cs="Plus Jakarta Sans ExtraBold" w:eastAsia="Plus Jakarta Sans ExtraBold" w:hAnsi="Plus Jakarta Sans ExtraBold"/>
          <w:b w:val="false"/>
          <w:bCs w:val="false"/>
          <w:i w:val="false"/>
          <w:iCs w:val="false"/>
          <w:color w:val="16181A"/>
          <w:spacing w:val="-11"/>
          <w:sz w:val="36"/>
          <w:szCs w:val="36"/>
        </w:rPr>
        <w:t xml:space="preserve">Inhalt</w:t>
      </w:r>
    </w:p>
    <w:sdt>
      <w:sdtPr>
        <w:alias w:val="Inhalt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1. Zusammenfassung</w:t>
          </w:r>
          <w:r>
            <w:tab/>
            <w:t xml:space="preserve">3</w:t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2. Leistungsstand</w:t>
          </w:r>
          <w:r>
            <w:tab/>
            <w:t xml:space="preserve">3</w:t>
          </w:r>
        </w:p>
        <w:p>
          <w:pPr>
            <w:pStyle w:val="TOC2"/>
            <w:tabs>
              <w:tab w:val="right" w:leader="dot" w:pos="9132"/>
            </w:tabs>
          </w:pPr>
          <w:r>
            <w:t xml:space="preserve">2.1 Rohbau</w:t>
          </w:r>
          <w:r>
            <w:tab/>
            <w:t xml:space="preserve">3</w:t>
          </w:r>
        </w:p>
        <w:p>
          <w:pPr>
            <w:pStyle w:val="TOC2"/>
            <w:tabs>
              <w:tab w:val="right" w:leader="dot" w:pos="9132"/>
            </w:tabs>
          </w:pPr>
          <w:r>
            <w:t xml:space="preserve">2.2 Technische Gewerke</w:t>
          </w:r>
          <w:r>
            <w:tab/>
            <w:t xml:space="preserve">3</w:t>
          </w:r>
        </w:p>
        <w:p>
          <w:pPr>
            <w:pStyle w:val="TOC3"/>
            <w:tabs>
              <w:tab w:val="right" w:leader="dot" w:pos="8852"/>
            </w:tabs>
          </w:pPr>
          <w:r>
            <w:t xml:space="preserve">2.2.1 Heizung, Lüftung, Sanitär</w:t>
          </w:r>
          <w:r>
            <w:tab/>
            <w:t xml:space="preserve">3</w:t>
          </w:r>
        </w:p>
        <w:p>
          <w:pPr>
            <w:pStyle w:val="TOC3"/>
            <w:tabs>
              <w:tab w:val="right" w:leader="dot" w:pos="8852"/>
            </w:tabs>
          </w:pPr>
          <w:r>
            <w:t xml:space="preserve">2.2.2 Elektro und Gebäudeautomation</w:t>
          </w:r>
          <w:r>
            <w:tab/>
            <w:t xml:space="preserve">4</w:t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3. Abrechnung</w:t>
          </w:r>
          <w:r>
            <w:tab/>
            <w:t xml:space="preserve">4</w:t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4. Nachträge</w:t>
          </w:r>
          <w:r>
            <w:tab/>
            <w:t xml:space="preserve">4</w:t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5. Termine und Risiken</w:t>
          </w:r>
          <w:r>
            <w:tab/>
            <w:t xml:space="preserve">4</w:t>
          </w:r>
        </w:p>
        <w:p>
          <w:pPr>
            <w:pStyle w:val="TOC1"/>
            <w:tabs>
              <w:tab w:val="right" w:leader="dot" w:pos="9412"/>
            </w:tabs>
          </w:pPr>
          <w:r>
            <w:t xml:space="preserve">6. Nächste Schritte</w:t>
          </w:r>
          <w:r>
            <w:tab/>
            <w:t xml:space="preserve">5</w:t>
          </w:r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Zusammenfassung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Der Bauabschnitt 2 liegt zum Stichtag 31.07.JJJJ weitgehend im Plan. Der Rohbau ist bis Achse H fertiggestellt, die Verbaumaßnahme aus Nachtrag N-07 verzögert die Sohlplatte im Bereich E bis H um rund zwei Wochen. Die Abrechnung folgt dem Leistungsverzeichnis in der Fassung vom TT.MM.JJJJ; alle Positionen sind über einen Datensatz von der Vergabe bis zur Abschlagsrechnung durchgängig verknüpft.</w:t>
      </w:r>
    </w:p>
    <w:tbl>
      <w:tblPr>
        <w:tblW w:type="dxa" w:w="9412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</w:tblPr>
      <w:tblGrid>
        <w:gridCol w:w="2800"/>
        <w:gridCol w:w="1800"/>
        <w:gridCol w:w="2000"/>
        <w:gridCol w:w="2812"/>
      </w:tblGrid>
      <w:tr>
        <w:trPr>
          <w:cantSplit/>
        </w:trPr>
        <w:tc>
          <w:tcPr>
            <w:tcW w:type="dxa" w:w="2800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40"/>
              <w:left w:type="dxa" w:w="0"/>
              <w:bottom w:type="dxa" w:w="160"/>
              <w:right w:type="dxa" w:w="120"/>
            </w:tcMar>
            <w:vAlign w:val="top"/>
          </w:tcPr>
          <w:p>
            <w:pPr>
              <w:spacing w:after="60" w:before="0" w:line="220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Auftragssumme</w:t>
            </w:r>
          </w:p>
          <w:p>
            <w:pPr>
              <w:spacing w:after="0" w:before="0" w:line="260"/>
            </w:pPr>
            <w:r>
              <w:rPr>
                <w:rFonts w:ascii="Geist Mono" w:cs="Geist Mono" w:eastAsia="Geist Mono" w:hAnsi="Geist Mono"/>
                <w:b/>
                <w:bCs/>
                <w:color w:val="16181A"/>
                <w:spacing w:val="-6"/>
                <w:sz w:val="28"/>
                <w:szCs w:val="28"/>
              </w:rPr>
              <w:t xml:space="preserve">4.284.900,00 €</w:t>
            </w:r>
          </w:p>
        </w:tc>
        <w:tc>
          <w:tcPr>
            <w:tcW w:type="dxa" w:w="1800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40"/>
              <w:left w:type="dxa" w:w="80"/>
              <w:bottom w:type="dxa" w:w="160"/>
              <w:right w:type="dxa" w:w="120"/>
            </w:tcMar>
            <w:vAlign w:val="top"/>
          </w:tcPr>
          <w:p>
            <w:pPr>
              <w:spacing w:after="60" w:before="0" w:line="220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Abgerechnet</w:t>
            </w:r>
          </w:p>
          <w:p>
            <w:pPr>
              <w:spacing w:after="0" w:before="0" w:line="260"/>
            </w:pPr>
            <w:r>
              <w:rPr>
                <w:rFonts w:ascii="Geist Mono" w:cs="Geist Mono" w:eastAsia="Geist Mono" w:hAnsi="Geist Mono"/>
                <w:b/>
                <w:bCs/>
                <w:color w:val="16181A"/>
                <w:spacing w:val="-6"/>
                <w:sz w:val="28"/>
                <w:szCs w:val="28"/>
              </w:rPr>
              <w:t xml:space="preserve">62 %</w:t>
            </w:r>
          </w:p>
        </w:tc>
        <w:tc>
          <w:tcPr>
            <w:tcW w:type="dxa" w:w="2000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40"/>
              <w:left w:type="dxa" w:w="80"/>
              <w:bottom w:type="dxa" w:w="160"/>
              <w:right w:type="dxa" w:w="120"/>
            </w:tcMar>
            <w:vAlign w:val="top"/>
          </w:tcPr>
          <w:p>
            <w:pPr>
              <w:spacing w:after="60" w:before="0" w:line="220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Nachträge offen</w:t>
            </w:r>
          </w:p>
          <w:p>
            <w:pPr>
              <w:spacing w:after="0" w:before="0" w:line="260"/>
            </w:pPr>
            <w:r>
              <w:rPr>
                <w:rFonts w:ascii="Geist Mono" w:cs="Geist Mono" w:eastAsia="Geist Mono" w:hAnsi="Geist Mono"/>
                <w:b/>
                <w:bCs/>
                <w:color w:val="16181A"/>
                <w:spacing w:val="-6"/>
                <w:sz w:val="28"/>
                <w:szCs w:val="28"/>
              </w:rPr>
              <w:t xml:space="preserve">7</w:t>
            </w:r>
          </w:p>
        </w:tc>
        <w:tc>
          <w:tcPr>
            <w:tcW w:type="dxa" w:w="2812"/>
            <w:tcBorders>
              <w:top w:val="single" w:color="16181A" w:sz="8" w:space="1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40"/>
              <w:left w:type="dxa" w:w="80"/>
              <w:bottom w:type="dxa" w:w="160"/>
              <w:right w:type="dxa" w:w="120"/>
            </w:tcMar>
            <w:vAlign w:val="top"/>
          </w:tcPr>
          <w:p>
            <w:pPr>
              <w:spacing w:after="60" w:before="0" w:line="220"/>
            </w:pPr>
            <w:r>
              <w:rPr>
                <w:rFonts w:ascii="Geist Mono" w:cs="Geist Mono" w:eastAsia="Geist Mono" w:hAnsi="Geist Mono"/>
                <w:b w:val="false"/>
                <w:bCs w:val="false"/>
                <w:caps/>
                <w:color w:val="8C9095"/>
                <w:spacing w:val="14"/>
                <w:sz w:val="15"/>
                <w:szCs w:val="15"/>
              </w:rPr>
              <w:t xml:space="preserve">Prognose</w:t>
            </w:r>
          </w:p>
          <w:p>
            <w:pPr>
              <w:spacing w:after="0" w:before="0" w:line="260"/>
            </w:pPr>
            <w:r>
              <w:rPr>
                <w:rFonts w:ascii="Geist Mono" w:cs="Geist Mono" w:eastAsia="Geist Mono" w:hAnsi="Geist Mono"/>
                <w:b/>
                <w:bCs/>
                <w:color w:val="16181A"/>
                <w:spacing w:val="-6"/>
                <w:sz w:val="28"/>
                <w:szCs w:val="28"/>
              </w:rPr>
              <w:t xml:space="preserve">4.461.200,00 €</w:t>
            </w:r>
          </w:p>
        </w:tc>
      </w:tr>
    </w:tbl>
    <w:p>
      <w:pPr>
        <w:spacing w:after="0" w:before="0" w:line="240" w:lineRule="exact"/>
      </w:pP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Prognose berücksichtigt die sieben offenen Nachträge mit einem gewichteten Erwartungswert von 176.300,00 €. Ein Überschreiten des Budgetrahmens ist derzeit nicht zu erwarten.</w:t>
      </w:r>
    </w:p>
    <w:tbl>
      <w:tblPr>
        <w:tblW w:type="dxa" w:w="9412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</w:tblPr>
      <w:tblGrid>
        <w:gridCol w:w="9412"/>
      </w:tblGrid>
      <w:tr>
        <w:trPr>
          <w:cantSplit/>
        </w:trPr>
        <w:tc>
          <w:tcPr>
            <w:tcW w:type="dxa" w:w="9412"/>
            <w:tcBorders>
              <w:top w:val="none" w:color="auto" w:sz="0" w:space="0"/>
              <w:left w:val="single" w:color="8E2222" w:sz="18" w:space="0"/>
              <w:bottom w:val="none" w:color="auto" w:sz="0" w:space="0"/>
              <w:right w:val="none" w:color="auto" w:sz="0" w:space="0"/>
            </w:tcBorders>
            <w:shd w:fill="FFEDE9" w:color="auto" w:val="clear"/>
            <w:tcMar>
              <w:top w:type="dxa" w:w="200"/>
              <w:left w:type="dxa" w:w="240"/>
              <w:bottom w:type="dxa" w:w="200"/>
              <w:right w:type="dxa" w:w="240"/>
            </w:tcMar>
          </w:tcPr>
          <w:p>
            <w:pPr>
              <w:spacing w:after="80" w:before="0" w:line="220"/>
            </w:pPr>
            <w:r>
              <w:rPr>
                <w:rFonts w:ascii="Geist Mono" w:cs="Geist Mono" w:eastAsia="Geist Mono" w:hAnsi="Geist Mono"/>
                <w:b/>
                <w:bCs/>
                <w:caps/>
                <w:color w:val="8E2222"/>
                <w:spacing w:val="22"/>
                <w:sz w:val="15"/>
                <w:szCs w:val="15"/>
              </w:rPr>
              <w:t xml:space="preserve">Hinweis</w:t>
            </w:r>
          </w:p>
          <w:p>
            <w:pPr>
              <w:spacing w:after="0" w:before="0" w:line="280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Nachtrag N-07 ist seit dem TT.MM.JJJJ zur Freigabe überfällig. Ohne Freigabe bis TT.MM.JJJJ verschiebt sich die Sohlplatte Achsen E–H und damit der Beginn der Rohinstallation um mindestens zehn Werktage.</w:t>
            </w:r>
          </w:p>
        </w:tc>
      </w:tr>
    </w:tbl>
    <w:p>
      <w:pPr>
        <w:pStyle w:val="Heading1"/>
      </w:pPr>
      <w:r>
        <w:t xml:space="preserve">2. Leistungsstand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Der Leistungsstand wird wöchentlich aus dem Aufmaß in das Leistungsverzeichnis zurückgeschrieben. Die folgenden Angaben beziehen sich auf den Stand vom 31.07.JJJJ.</w:t>
      </w:r>
    </w:p>
    <w:p>
      <w:pPr>
        <w:pStyle w:val="Heading2"/>
      </w:pPr>
      <w:r>
        <w:t xml:space="preserve">2.1 Rohbau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Rohbauarbeiten sind zu 84 % abgeschlossen. Der Verbau der Baugrube ist bis Achse D abgenommen, die Restfläche steht unter Vorbehalt des Nachtrags N-07.</w:t>
      </w:r>
    </w:p>
    <w:p>
      <w:pPr>
        <w:pStyle w:val="ListParagraph"/>
        <w:numPr>
          <w:ilvl w:val="0"/>
          <w:numId w:val="2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Bodenplatte Achsen A–D: abgenommen am TT.MM.JJJJ</w:t>
      </w:r>
    </w:p>
    <w:p>
      <w:pPr>
        <w:pStyle w:val="ListParagraph"/>
        <w:numPr>
          <w:ilvl w:val="0"/>
          <w:numId w:val="2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Stahlbetonstützen Regelgeschoss: 128 von 152 Stück gesetzt</w:t>
      </w:r>
    </w:p>
    <w:p>
      <w:pPr>
        <w:pStyle w:val="ListParagraph"/>
        <w:numPr>
          <w:ilvl w:val="0"/>
          <w:numId w:val="2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Verbau Achsen E–H: ausgesetzt, Freigabe N-07 ausstehend</w:t>
      </w:r>
    </w:p>
    <w:p>
      <w:pPr>
        <w:pStyle w:val="ListParagraph"/>
        <w:numPr>
          <w:ilvl w:val="1"/>
          <w:numId w:val="2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Treppenhauskerne: im Plan, keine Abweichung</w:t>
      </w:r>
    </w:p>
    <w:p>
      <w:pPr>
        <w:pStyle w:val="Heading2"/>
      </w:pPr>
      <w:r>
        <w:t xml:space="preserve">2.2 Technische Gewerke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technischen Gewerke starten planmäßig im September. Die Koordinationsplanung liegt in Revision C vor und ist mit dem Rohbau kollisionsgeprüft.</w:t>
      </w:r>
    </w:p>
    <w:p>
      <w:pPr>
        <w:pStyle w:val="Heading3"/>
      </w:pPr>
      <w:r>
        <w:t xml:space="preserve">2.2.1 Heizung, Lüftung, Sanitär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Vergabe ist abgeschlossen, die Auftragssumme beträgt 612.400,00 € netto. Der Materialabruf für die Steigstränge erfolgt zum TT.MM.JJJJ.</w:t>
      </w:r>
    </w:p>
    <w:p>
      <w:pPr>
        <w:pStyle w:val="Heading3"/>
      </w:pPr>
      <w:r>
        <w:t xml:space="preserve">2.2.2 Elektro und Gebäudeautomation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Ausschreibung läuft über BidX; der Submissionstermin ist auf den TT.MM.JJJJ terminiert. Vier Bieter haben die Unterlagen abgerufen.</w:t>
      </w:r>
    </w:p>
    <w:p>
      <w:pPr>
        <w:pStyle w:val="Heading1"/>
      </w:pPr>
      <w:r>
        <w:t xml:space="preserve">3. Abrechnung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Alle Rechnungen entstehen direkt aus dem Leistungsverzeichnis und tragen dieselben Positionsnummern wie Ausschreibung und Vergabe. Die Prüfung erfolgt in INRX; Freigaben werden mit Zeitstempel und Prüfer dokumentiert.</w:t>
      </w:r>
    </w:p>
    <w:tbl>
      <w:tblPr>
        <w:tblW w:type="dxa" w:w="9412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</w:tblPr>
      <w:tblGrid>
        <w:gridCol w:w="1000"/>
        <w:gridCol w:w="3012"/>
        <w:gridCol w:w="2000"/>
        <w:gridCol w:w="1800"/>
        <w:gridCol w:w="1600"/>
      </w:tblGrid>
      <w:tr>
        <w:trPr>
          <w:cantSplit/>
          <w:tblHeader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16181A" w:sz="8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bottom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color w:val="16181A"/>
                <w:sz w:val="17"/>
                <w:szCs w:val="17"/>
              </w:rPr>
              <w:t xml:space="preserve">Nr.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16181A" w:sz="8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bottom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color w:val="16181A"/>
                <w:sz w:val="17"/>
                <w:szCs w:val="17"/>
              </w:rPr>
              <w:t xml:space="preserve">Bezeichnung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16181A" w:sz="8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bottom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color w:val="16181A"/>
                <w:sz w:val="17"/>
                <w:szCs w:val="17"/>
              </w:rPr>
              <w:t xml:space="preserve">Zeitraum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16181A" w:sz="8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bottom"/>
          </w:tcPr>
          <w:p>
            <w:pPr>
              <w:spacing w:after="0" w:before="0" w:line="240"/>
              <w:jc w:val="right"/>
            </w:pPr>
            <w:r>
              <w:rPr>
                <w:rFonts w:ascii="Plus Jakarta Sans SemiBold" w:cs="Plus Jakarta Sans SemiBold" w:eastAsia="Plus Jakarta Sans SemiBold" w:hAnsi="Plus Jakarta Sans SemiBold"/>
                <w:color w:val="16181A"/>
                <w:sz w:val="17"/>
                <w:szCs w:val="17"/>
              </w:rPr>
              <w:t xml:space="preserve">Netto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16181A" w:sz="8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bottom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color w:val="16181A"/>
                <w:sz w:val="17"/>
                <w:szCs w:val="17"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AR-08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Abschlagsrechnung 08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01.04.–30.04.JJJJ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486.320,00 €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00633B"/>
                <w:sz w:val="18"/>
                <w:szCs w:val="18"/>
              </w:rPr>
              <w:t xml:space="preserve">Bezahlt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AR-09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Abschlagsrechnung 09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01.05.–31.05.JJJJ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412.750,00 €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00633B"/>
                <w:sz w:val="18"/>
                <w:szCs w:val="18"/>
              </w:rPr>
              <w:t xml:space="preserve">Geprüft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AR-10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Abschlagsrechnung 10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01.06.–30.06.JJJJ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508.940,00 €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985E00"/>
                <w:sz w:val="18"/>
                <w:szCs w:val="18"/>
              </w:rPr>
              <w:t xml:space="preserve">In Prüfung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AR-11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Abschlagsrechnung 11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01.07.–31.07.JJJJ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361.180,00 €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985E00"/>
                <w:sz w:val="18"/>
                <w:szCs w:val="18"/>
              </w:rPr>
              <w:t xml:space="preserve">Frist läuft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N-07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Nachtrag Verbau, Achsen E–H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12.06.–30.06.JJJJ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128.400,00 €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B83B36"/>
                <w:sz w:val="18"/>
                <w:szCs w:val="18"/>
              </w:rPr>
              <w:t xml:space="preserve">Überfällig</w:t>
            </w:r>
          </w:p>
        </w:tc>
      </w:tr>
      <w:tr>
        <w:trPr>
          <w:cantSplit/>
        </w:trPr>
        <w:tc>
          <w:tcPr>
            <w:tcW w:type="dxa" w:w="1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7"/>
                <w:szCs w:val="17"/>
              </w:rPr>
              <w:t xml:space="preserve">SR-01</w:t>
            </w:r>
          </w:p>
        </w:tc>
        <w:tc>
          <w:tcPr>
            <w:tcW w:type="dxa" w:w="3012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" w:cs="Plus Jakarta Sans" w:eastAsia="Plus Jakarta Sans" w:hAnsi="Plus Jakarta Sans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Schlussrechnung (Entwurf)</w:t>
            </w:r>
          </w:p>
        </w:tc>
        <w:tc>
          <w:tcPr>
            <w:tcW w:type="dxa" w:w="20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53575B"/>
                <w:sz w:val="16"/>
                <w:szCs w:val="16"/>
              </w:rPr>
              <w:t xml:space="preserve">01.08.–31.10.JJJJ</w:t>
            </w:r>
          </w:p>
        </w:tc>
        <w:tc>
          <w:tcPr>
            <w:tcW w:type="dxa" w:w="18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 w:val="false"/>
                <w:bCs w:val="false"/>
                <w:color w:val="16181A"/>
                <w:sz w:val="18"/>
                <w:szCs w:val="18"/>
              </w:rPr>
              <w:t xml:space="preserve">1.246.400,00 €</w:t>
            </w:r>
          </w:p>
        </w:tc>
        <w:tc>
          <w:tcPr>
            <w:tcW w:type="dxa" w:w="1600"/>
            <w:tcBorders>
              <w:top w:val="none" w:color="auto" w:sz="0" w:space="0"/>
              <w:left w:val="none" w:color="auto" w:sz="0" w:space="0"/>
              <w:bottom w:val="single" w:color="E2E3E0" w:sz="4" w:space="1"/>
              <w:right w:val="none" w:color="auto" w:sz="0" w:space="0"/>
            </w:tcBorders>
            <w:shd w:fill="F4F4F1" w:color="auto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53575B"/>
                <w:sz w:val="18"/>
                <w:szCs w:val="18"/>
              </w:rPr>
              <w:t xml:space="preserve">Entwurf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16181A" w:sz="8" w:space="1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top w:type="dxa" w:w="100"/>
              <w:left w:type="dxa" w:w="120"/>
              <w:bottom w:type="dxa" w:w="4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</w:p>
        </w:tc>
        <w:tc>
          <w:tcPr>
            <w:tcW w:type="dxa" w:w="3012"/>
            <w:tcBorders>
              <w:top w:val="single" w:color="16181A" w:sz="8" w:space="1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top w:type="dxa" w:w="100"/>
              <w:left w:type="dxa" w:w="120"/>
              <w:bottom w:type="dxa" w:w="4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  <w:r>
              <w:rPr>
                <w:rFonts w:ascii="Plus Jakarta Sans SemiBold" w:cs="Plus Jakarta Sans SemiBold" w:eastAsia="Plus Jakarta Sans SemiBold" w:hAnsi="Plus Jakarta Sans SemiBold"/>
                <w:b w:val="false"/>
                <w:bCs w:val="false"/>
                <w:i w:val="false"/>
                <w:iCs w:val="false"/>
                <w:color w:val="16181A"/>
                <w:sz w:val="19"/>
                <w:szCs w:val="19"/>
              </w:rPr>
              <w:t xml:space="preserve">Summe netto</w:t>
            </w:r>
          </w:p>
        </w:tc>
        <w:tc>
          <w:tcPr>
            <w:tcW w:type="dxa" w:w="2000"/>
            <w:tcBorders>
              <w:top w:val="single" w:color="16181A" w:sz="8" w:space="1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top w:type="dxa" w:w="100"/>
              <w:left w:type="dxa" w:w="120"/>
              <w:bottom w:type="dxa" w:w="4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</w:p>
        </w:tc>
        <w:tc>
          <w:tcPr>
            <w:tcW w:type="dxa" w:w="1800"/>
            <w:tcBorders>
              <w:top w:val="single" w:color="16181A" w:sz="8" w:space="1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top w:type="dxa" w:w="100"/>
              <w:left w:type="dxa" w:w="120"/>
              <w:bottom w:type="dxa" w:w="40"/>
              <w:right w:type="dxa" w:w="120"/>
            </w:tcMar>
            <w:vAlign w:val="center"/>
          </w:tcPr>
          <w:p>
            <w:pPr>
              <w:spacing w:after="0" w:before="0" w:line="240"/>
              <w:jc w:val="right"/>
            </w:pPr>
            <w:r>
              <w:rPr>
                <w:rFonts w:ascii="Geist Mono" w:cs="Geist Mono" w:eastAsia="Geist Mono" w:hAnsi="Geist Mono"/>
                <w:b/>
                <w:bCs/>
                <w:color w:val="16181A"/>
                <w:sz w:val="18"/>
                <w:szCs w:val="18"/>
              </w:rPr>
              <w:t xml:space="preserve">3.143.990,00 €</w:t>
            </w:r>
          </w:p>
        </w:tc>
        <w:tc>
          <w:tcPr>
            <w:tcW w:type="dxa" w:w="1600"/>
            <w:tcBorders>
              <w:top w:val="single" w:color="16181A" w:sz="8" w:space="1"/>
              <w:left w:val="none" w:color="auto" w:sz="0" w:space="0"/>
              <w:bottom w:val="none" w:color="auto" w:sz="0" w:space="0"/>
              <w:right w:val="none" w:color="auto" w:sz="0" w:space="0"/>
            </w:tcBorders>
            <w:tcMar>
              <w:top w:type="dxa" w:w="100"/>
              <w:left w:type="dxa" w:w="120"/>
              <w:bottom w:type="dxa" w:w="40"/>
              <w:right w:type="dxa" w:w="120"/>
            </w:tcMar>
            <w:vAlign w:val="center"/>
          </w:tcPr>
          <w:p>
            <w:pPr>
              <w:spacing w:after="0" w:before="0" w:line="240"/>
              <w:jc w:val="left"/>
            </w:pPr>
          </w:p>
        </w:tc>
      </w:tr>
    </w:tbl>
    <w:p>
      <w:pPr>
        <w:spacing w:after="0" w:before="0" w:line="200" w:lineRule="exact"/>
      </w:pP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Schlussrechnung SR-01 ist als Entwurf angelegt und wird nach Abnahme des Bauabschnitts fortgeschrieben. Skontofristen werden automatisch aus dem Zahlungsplan nach § 16 VOB/B abgeleitet.</w:t>
      </w:r>
    </w:p>
    <w:p>
      <w:pPr>
        <w:pStyle w:val="Heading1"/>
      </w:pPr>
      <w:r>
        <w:t xml:space="preserve">4. Nachträge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Sieben Nachträge sind offen, davon zwei mit Terminwirkung. Die Bearbeitung folgt einem festen Ablauf:</w:t>
      </w:r>
    </w:p>
    <w:p>
      <w:pPr>
        <w:pStyle w:val="ListParagraph"/>
        <w:numPr>
          <w:ilvl w:val="0"/>
          <w:numId w:val="3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Aufnahme der Abweichung im Leistungsverzeichnis mit Verweis auf die Ursprungsposition.</w:t>
      </w:r>
    </w:p>
    <w:p>
      <w:pPr>
        <w:pStyle w:val="ListParagraph"/>
        <w:numPr>
          <w:ilvl w:val="0"/>
          <w:numId w:val="3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Kalkulation auf Basis der Urkalkulation und Prüfung nach § 2 Abs. 5 bzw. Abs. 6 VOB/B.</w:t>
      </w:r>
    </w:p>
    <w:p>
      <w:pPr>
        <w:pStyle w:val="ListParagraph"/>
        <w:numPr>
          <w:ilvl w:val="0"/>
          <w:numId w:val="3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Freigabe durch den Auftraggeber, Verknüpfung mit der nächsten Abschlagsrechnung.</w:t>
      </w:r>
    </w:p>
    <w:p>
      <w:pPr>
        <w:pStyle w:val="BauLynqFliesstext"/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Der wertmäßig größte Nachtrag bleibt N-07 mit 128.400,00 € netto. N-03 und N-05 sind kaufmännisch geprüft und werden mit AR-12 abgerechnet.</w:t>
      </w:r>
    </w:p>
    <w:p>
      <w:pPr>
        <w:pStyle w:val="Heading1"/>
      </w:pPr>
      <w:r>
        <w:t xml:space="preserve">5. Termine und Risiken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Der Fertigstellungstermin für den Bauabschnitt 2 bleibt der TT.MM.JJJJ. Zwei Risiken sind derzeit bewertet:</w:t>
      </w:r>
    </w:p>
    <w:p>
      <w:pPr>
        <w:pStyle w:val="ListParagraph"/>
        <w:numPr>
          <w:ilvl w:val="0"/>
          <w:numId w:val="4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Freigabeverzug N-07 — Auswirkung bis zu zehn Werktage auf den kritischen Weg.</w:t>
      </w:r>
    </w:p>
    <w:p>
      <w:pPr>
        <w:pStyle w:val="ListParagraph"/>
        <w:numPr>
          <w:ilvl w:val="0"/>
          <w:numId w:val="4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Lieferzeit Fassadenelemente — derzeit 14 Wochen, Bestellung muss bis TT.MM.JJJJ ausgelöst werden.</w:t>
      </w:r>
    </w:p>
    <w:p>
      <w:pPr>
        <w:pStyle w:val="ListParagraph"/>
        <w:numPr>
          <w:ilvl w:val="0"/>
          <w:numId w:val="4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Witterung im Oktober — Pufferzeit von fünf Werktagen im Terminplan hinterlegt.</w:t>
      </w:r>
    </w:p>
    <w:p>
      <w:pPr>
        <w:pStyle w:val="BauLynqFliesstext"/>
        <w:spacing w:after="16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Die Risiken werden wöchentlich im Baustellenjour-fixe bewertet und im Bericht fortgeschrieben.</w:t>
      </w:r>
    </w:p>
    <w:p>
      <w:pPr>
        <w:pStyle w:val="Heading1"/>
      </w:pPr>
      <w:r>
        <w:t xml:space="preserve">6. Nächste Schritte</w:t>
      </w:r>
    </w:p>
    <w:p>
      <w:pPr>
        <w:pStyle w:val="ListParagraph"/>
        <w:numPr>
          <w:ilvl w:val="0"/>
          <w:numId w:val="5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Freigabe Nachtrag N-07 bis TT.MM.JJJJ einholen.</w:t>
      </w:r>
    </w:p>
    <w:p>
      <w:pPr>
        <w:pStyle w:val="ListParagraph"/>
        <w:numPr>
          <w:ilvl w:val="0"/>
          <w:numId w:val="5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Abschlagsrechnung AR-11 nach Aufmaß vom TT.MM.JJJJ stellen.</w:t>
      </w:r>
    </w:p>
    <w:p>
      <w:pPr>
        <w:pStyle w:val="ListParagraph"/>
        <w:numPr>
          <w:ilvl w:val="0"/>
          <w:numId w:val="5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Submission Elektro und Gebäudeautomation am TT.MM.JJJJ durchführen.</w:t>
      </w:r>
    </w:p>
    <w:p>
      <w:pPr>
        <w:pStyle w:val="ListParagraph"/>
        <w:numPr>
          <w:ilvl w:val="0"/>
          <w:numId w:val="5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Fassadenelemente bis TT.MM.JJJJ beauftragen.</w:t>
      </w:r>
    </w:p>
    <w:p>
      <w:pPr>
        <w:pStyle w:val="ListParagraph"/>
        <w:numPr>
          <w:ilvl w:val="0"/>
          <w:numId w:val="5"/>
        </w:numPr>
        <w:spacing w:after="80" w:before="0" w:line="300"/>
      </w:pPr>
      <w:r>
        <w:rPr>
          <w:rFonts w:ascii="Plus Jakarta Sans" w:cs="Plus Jakarta Sans" w:eastAsia="Plus Jakarta Sans" w:hAnsi="Plus Jakarta Sans"/>
          <w:b w:val="false"/>
          <w:bCs w:val="false"/>
          <w:i w:val="false"/>
          <w:iCs w:val="false"/>
          <w:color w:val="16181A"/>
          <w:sz w:val="21"/>
          <w:szCs w:val="21"/>
        </w:rPr>
        <w:t xml:space="preserve">Bericht 2026-Q3-03 zum TT.MM.JJJJ vorlegen.</w:t>
      </w:r>
    </w:p>
    <w:sectPr>
      <w:headerReference w:type="default" r:id="rId7"/>
      <w:footerReference w:type="default" r:id="rId8"/>
      <w:pgSz w:w="11906" w:h="16838" w:orient="portrait"/>
      <w:pgMar w:top="1814" w:right="1247" w:bottom="1701" w:left="1247" w:header="907" w:footer="794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bottom w:val="single" w:color="E2E3E0" w:sz="6" w:space="1"/>
      </w:pBdr>
      <w:spacing w:after="80" w:before="0" w:line="20"/>
    </w:pPr>
  </w:p>
  <w:p>
    <w:pPr>
      <w:tabs>
        <w:tab w:val="right" w:pos="9412"/>
      </w:tabs>
      <w:spacing w:after="0" w:before="0" w:line="220"/>
    </w:pPr>
    <w:r>
      <w:rPr>
        <w:rFonts w:ascii="Geist Mono" w:cs="Geist Mono" w:eastAsia="Geist Mono" w:hAnsi="Geist Mono"/>
        <w:color w:val="8C9095"/>
        <w:sz w:val="16"/>
        <w:szCs w:val="16"/>
      </w:rPr>
      <w:t xml:space="preserve">BauLynq · www.baulynq.com</w:t>
    </w:r>
    <w:r>
      <w:tab/>
    </w:r>
    <w:r>
      <w:rPr>
        <w:rFonts w:ascii="Geist Mono" w:cs="Geist Mono" w:eastAsia="Geist Mono" w:hAnsi="Geist Mono"/>
        <w:color w:val="8C9095"/>
        <w:sz w:val="16"/>
        <w:szCs w:val="16"/>
      </w:rPr>
      <w:t xml:space="preserve">Seite </w:t>
    </w:r>
    <w:r>
      <w:rPr>
        <w:rFonts w:ascii="Geist Mono" w:cs="Geist Mono" w:eastAsia="Geist Mono" w:hAnsi="Geist Mono"/>
        <w:color w:val="8C9095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Geist Mono" w:cs="Geist Mono" w:eastAsia="Geist Mono" w:hAnsi="Geist Mono"/>
        <w:color w:val="8C9095"/>
        <w:sz w:val="16"/>
        <w:szCs w:val="16"/>
      </w:rPr>
      <w:t xml:space="preserve"> von </w:t>
    </w:r>
    <w:r>
      <w:rPr>
        <w:rFonts w:ascii="Geist Mono" w:cs="Geist Mono" w:eastAsia="Geist Mono" w:hAnsi="Geist Mono"/>
        <w:color w:val="8C9095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12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type="dxa" w:w="0"/>
        <w:left w:type="dxa" w:w="0"/>
        <w:bottom w:type="dxa" w:w="0"/>
        <w:right w:type="dxa" w:w="0"/>
      </w:tblCellMar>
    </w:tblPr>
    <w:tblGrid>
      <w:gridCol w:w="5200"/>
      <w:gridCol w:w="4212"/>
    </w:tblGrid>
    <w:tr>
      <w:trPr>
        <w:cantSplit/>
      </w:trPr>
      <w:tc>
        <w:tcPr>
          <w:tcW w:type="dxa" w:w="5200"/>
          <w:tc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tcBorders>
          <w:vAlign w:val="top"/>
        </w:tcPr>
        <w:p>
          <w:pPr>
            <w:spacing w:after="0" w:before="0" w:line="240"/>
          </w:pPr>
          <w:r>
            <w:rPr>
              <w:rFonts w:ascii="Geist Mono" w:cs="Geist Mono" w:eastAsia="Geist Mono" w:hAnsi="Geist Mono"/>
              <w:b w:val="false"/>
              <w:bCs w:val="false"/>
              <w:caps/>
              <w:color w:val="8C9095"/>
              <w:spacing w:val="20"/>
              <w:sz w:val="15"/>
              <w:szCs w:val="15"/>
            </w:rPr>
            <w:t xml:space="preserve">BauLynq · Projektbericht</w:t>
          </w:r>
        </w:p>
      </w:tc>
      <w:tc>
        <w:tcPr>
          <w:tcW w:type="dxa" w:w="4212"/>
          <w:tc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tcBorders>
          <w:vAlign w:val="top"/>
        </w:tcPr>
        <w:p>
          <w:pPr>
            <w:spacing w:after="0" w:before="0" w:line="240"/>
            <w:jc w:val="right"/>
          </w:pPr>
          <w:r>
            <w:rPr>
              <w:rFonts w:ascii="Geist Mono" w:cs="Geist Mono" w:eastAsia="Geist Mono" w:hAnsi="Geist Mono"/>
              <w:b w:val="false"/>
              <w:bCs w:val="false"/>
              <w:caps/>
              <w:color w:val="8C9095"/>
              <w:spacing w:val="20"/>
              <w:sz w:val="15"/>
              <w:szCs w:val="15"/>
            </w:rPr>
            <w:t xml:space="preserve">Quartier Nord — Bauabschnitt 2</w:t>
          </w:r>
        </w:p>
      </w:tc>
    </w:tr>
  </w:tbl>
  <w:p>
    <w:pPr>
      <w:pBdr>
        <w:bottom w:val="single" w:color="E2E3E0" w:sz="6" w:space="1"/>
      </w:pBdr>
      <w:spacing w:after="0" w:before="80" w:line="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before="0" w:line="300"/>
        <w:ind w:left="320" w:hanging="320"/>
      </w:pPr>
      <w:rPr>
        <w:rFonts w:ascii="Plus Jakarta Sans" w:cs="Plus Jakarta Sans" w:eastAsia="Plus Jakarta Sans" w:hAnsi="Plus Jakarta Sans"/>
        <w:color w:val="8C9095"/>
        <w:sz w:val="21"/>
        <w:szCs w:val="21"/>
      </w:rPr>
    </w:lvl>
    <w:lvl w:ilvl="1" w15:tentative="1">
      <w:start w:val="1"/>
      <w:numFmt w:val="bullet"/>
      <w:lvlText w:val="–"/>
      <w:lvlJc w:val="left"/>
      <w:pPr>
        <w:spacing w:after="80" w:before="0" w:line="300"/>
        <w:ind w:left="640" w:hanging="320"/>
      </w:pPr>
      <w:rPr>
        <w:rFonts w:ascii="Plus Jakarta Sans" w:cs="Plus Jakarta Sans" w:eastAsia="Plus Jakarta Sans" w:hAnsi="Plus Jakarta Sans"/>
        <w:color w:val="8C9095"/>
        <w:sz w:val="21"/>
        <w:szCs w:val="21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spacing w:after="80" w:before="0" w:line="300"/>
        <w:ind w:left="400" w:hanging="400"/>
      </w:pPr>
      <w:rPr>
        <w:rFonts w:ascii="Geist Mono" w:cs="Geist Mono" w:eastAsia="Geist Mono" w:hAnsi="Geist Mono"/>
        <w:color w:val="53575B"/>
        <w:sz w:val="19"/>
        <w:szCs w:val="19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updateFields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lus Jakarta Sans" w:cs="Plus Jakarta Sans" w:eastAsia="Plus Jakarta Sans" w:hAnsi="Plus Jakarta Sans" w:asciiTheme="minorHAnsi" w:hAnsiTheme="minorHAnsi" w:eastAsiaTheme="minorHAnsi" w:cstheme="minorBidi"/>
        <w:color w:val="16181A"/>
        <w:sz w:val="21"/>
        <w:szCs w:val="21"/>
      </w:rPr>
    </w:rPrDefault>
    <w:pPrDefault>
      <w:pPr>
        <w:spacing w:after="160" w:before="0" w:line="300" w:lineRule="auto"/>
      </w:pPr>
    </w:pPrDefault>
  </w:docDefaults>
  <w:style w:type="paragraph" w:styleId="Title">
    <w:name w:val="Title"/>
    <w:basedOn w:val="Normal"/>
    <w:next w:val="Normal"/>
    <w:qFormat/>
    <w:pPr>
      <w:spacing w:after="160" w:before="0"/>
    </w:pPr>
    <w:rPr>
      <w:rFonts w:ascii="Plus Jakarta Sans ExtraBold" w:cs="Plus Jakarta Sans ExtraBold" w:eastAsia="Plus Jakarta Sans ExtraBold" w:hAnsi="Plus Jakarta Sans ExtraBold" w:asciiTheme="majorHAnsi" w:hAnsiTheme="majorHAnsi" w:eastAsiaTheme="majorHAnsi" w:cstheme="majorBidi"/>
      <w:color w:val="16181A"/>
      <w:spacing w:val="-20"/>
      <w:sz w:val="68"/>
      <w:szCs w:val="68"/>
    </w:rPr>
  </w:style>
  <w:style w:type="paragraph" w:styleId="Heading1">
    <w:name w:val="Heading 1"/>
    <w:basedOn w:val="Normal"/>
    <w:next w:val="Normal"/>
    <w:qFormat/>
    <w:pPr>
      <w:keepNext/>
      <w:pBdr>
        <w:bottom w:val="single" w:color="E2E3E0" w:sz="6" w:space="1"/>
      </w:pBdr>
      <w:spacing w:after="160" w:before="480" w:line="264"/>
      <w:outlineLvl w:val="0"/>
    </w:pPr>
    <w:rPr>
      <w:rFonts w:ascii="Plus Jakarta Sans ExtraBold" w:cs="Plus Jakarta Sans ExtraBold" w:eastAsia="Plus Jakarta Sans ExtraBold" w:hAnsi="Plus Jakarta Sans ExtraBold" w:asciiTheme="majorHAnsi" w:hAnsiTheme="majorHAnsi" w:eastAsiaTheme="majorHAnsi" w:cstheme="majorBidi"/>
      <w:b w:val="false"/>
      <w:bCs w:val="false"/>
      <w:color w:val="16181A"/>
      <w:spacing w:val="-11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spacing w:after="80" w:before="320" w:line="264"/>
      <w:outlineLvl w:val="1"/>
    </w:pPr>
    <w:rPr>
      <w:rFonts w:ascii="Plus Jakarta Sans SemiBold" w:cs="Plus Jakarta Sans SemiBold" w:eastAsia="Plus Jakarta Sans SemiBold" w:hAnsi="Plus Jakarta Sans SemiBold"/>
      <w:color w:val="16181A"/>
      <w:spacing w:val="-8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80" w:before="240" w:line="264"/>
      <w:outlineLvl w:val="2"/>
    </w:pPr>
    <w:rPr>
      <w:rFonts w:ascii="Plus Jakarta Sans SemiBold" w:cs="Plus Jakarta Sans SemiBold" w:eastAsia="Plus Jakarta Sans SemiBold" w:hAnsi="Plus Jakarta Sans SemiBold"/>
      <w:color w:val="53575B"/>
      <w:spacing w:val="-5"/>
      <w:sz w:val="22"/>
      <w:szCs w:val="22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pPr>
      <w:spacing w:after="80" w:before="0" w:line="300"/>
    </w:pPr>
    <w:rPr>
      <w:rFonts w:ascii="Plus Jakarta Sans" w:cs="Plus Jakarta Sans" w:eastAsia="Plus Jakarta Sans" w:hAnsi="Plus Jakarta Sans"/>
      <w:color w:val="16181A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8E22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BauLynqTitel">
    <w:name w:val="BauLynq Titel"/>
    <w:basedOn w:val="Normal"/>
    <w:next w:val="BauLynqFliesstext"/>
    <w:qFormat/>
    <w:pPr>
      <w:spacing w:after="80" w:before="0" w:line="920" w:lineRule="atLeast"/>
    </w:pPr>
    <w:rPr>
      <w:rFonts w:ascii="Plus Jakarta Sans ExtraBold" w:cs="Plus Jakarta Sans ExtraBold" w:eastAsia="Plus Jakarta Sans ExtraBold" w:hAnsi="Plus Jakarta Sans ExtraBold" w:asciiTheme="majorHAnsi" w:hAnsiTheme="majorHAnsi" w:eastAsiaTheme="majorHAnsi" w:cstheme="majorBidi"/>
      <w:color w:val="16181A"/>
      <w:spacing w:val="-24"/>
      <w:sz w:val="80"/>
      <w:szCs w:val="80"/>
    </w:rPr>
  </w:style>
  <w:style w:type="paragraph" w:styleId="BauLynqUeberschrift1">
    <w:name w:val="BauLynq Überschrift 1"/>
    <w:basedOn w:val="Heading1"/>
    <w:next w:val="BauLynqFliesstext"/>
    <w:qFormat/>
    <w:pPr>
      <w:keepNext/>
      <w:pBdr>
        <w:bottom w:val="single" w:color="E2E3E0" w:sz="6" w:space="1"/>
      </w:pBdr>
      <w:spacing w:after="160" w:before="480" w:line="264"/>
      <w:outlineLvl w:val="0"/>
    </w:pPr>
    <w:rPr>
      <w:rFonts w:ascii="Plus Jakarta Sans ExtraBold" w:cs="Plus Jakarta Sans ExtraBold" w:eastAsia="Plus Jakarta Sans ExtraBold" w:hAnsi="Plus Jakarta Sans ExtraBold" w:asciiTheme="majorHAnsi" w:hAnsiTheme="majorHAnsi" w:eastAsiaTheme="majorHAnsi" w:cstheme="majorBidi"/>
      <w:b w:val="false"/>
      <w:bCs w:val="false"/>
      <w:color w:val="16181A"/>
      <w:spacing w:val="-11"/>
      <w:sz w:val="36"/>
      <w:szCs w:val="36"/>
    </w:rPr>
  </w:style>
  <w:style w:type="paragraph" w:styleId="BauLynqUeberschrift2">
    <w:name w:val="BauLynq Überschrift 2"/>
    <w:basedOn w:val="Heading2"/>
    <w:next w:val="BauLynqFliesstext"/>
    <w:qFormat/>
    <w:pPr>
      <w:keepNext/>
      <w:spacing w:after="80" w:before="320" w:line="264"/>
      <w:outlineLvl w:val="1"/>
    </w:pPr>
    <w:rPr>
      <w:rFonts w:ascii="Plus Jakarta Sans SemiBold" w:cs="Plus Jakarta Sans SemiBold" w:eastAsia="Plus Jakarta Sans SemiBold" w:hAnsi="Plus Jakarta Sans SemiBold"/>
      <w:color w:val="16181A"/>
      <w:spacing w:val="-8"/>
      <w:sz w:val="26"/>
      <w:szCs w:val="26"/>
    </w:rPr>
  </w:style>
  <w:style w:type="paragraph" w:styleId="BauLynqUeberschrift3">
    <w:name w:val="BauLynq Überschrift 3"/>
    <w:basedOn w:val="Heading3"/>
    <w:next w:val="BauLynqFliesstext"/>
    <w:qFormat/>
    <w:pPr>
      <w:keepNext/>
      <w:spacing w:after="80" w:before="240" w:line="264"/>
      <w:outlineLvl w:val="2"/>
    </w:pPr>
    <w:rPr>
      <w:rFonts w:ascii="Plus Jakarta Sans SemiBold" w:cs="Plus Jakarta Sans SemiBold" w:eastAsia="Plus Jakarta Sans SemiBold" w:hAnsi="Plus Jakarta Sans SemiBold"/>
      <w:color w:val="53575B"/>
      <w:spacing w:val="-5"/>
      <w:sz w:val="22"/>
      <w:szCs w:val="22"/>
    </w:rPr>
  </w:style>
  <w:style w:type="paragraph" w:styleId="BauLynqFliesstext">
    <w:name w:val="BauLynq Fließtext"/>
    <w:basedOn w:val="Normal"/>
    <w:next w:val="BauLynqFliesstext"/>
    <w:qFormat/>
    <w:pPr>
      <w:spacing w:after="160" w:before="0" w:line="300"/>
      <w:jc w:val="left"/>
    </w:pPr>
    <w:rPr>
      <w:rFonts w:ascii="Plus Jakarta Sans" w:cs="Plus Jakarta Sans" w:eastAsia="Plus Jakarta Sans" w:hAnsi="Plus Jakarta Sans"/>
      <w:color w:val="16181A"/>
      <w:sz w:val="21"/>
      <w:szCs w:val="21"/>
    </w:rPr>
  </w:style>
  <w:style w:type="paragraph" w:styleId="BauLynqKicker">
    <w:name w:val="BauLynq Kicker"/>
    <w:basedOn w:val="Normal"/>
    <w:next w:val="BauLynqFliesstext"/>
    <w:qFormat/>
    <w:pPr>
      <w:spacing w:after="80" w:before="0" w:line="240"/>
    </w:pPr>
    <w:rPr>
      <w:rFonts w:ascii="Geist Mono" w:cs="Geist Mono" w:eastAsia="Geist Mono" w:hAnsi="Geist Mono"/>
      <w:caps/>
      <w:color w:val="8C9095"/>
      <w:spacing w:val="16"/>
      <w:sz w:val="15"/>
      <w:szCs w:val="15"/>
    </w:rPr>
  </w:style>
  <w:style w:type="paragraph" w:styleId="BauLynqDatenzelle">
    <w:name w:val="BauLynq Datenzelle"/>
    <w:basedOn w:val="Normal"/>
    <w:next w:val="BauLynqDatenzelle"/>
    <w:qFormat/>
    <w:pPr>
      <w:spacing w:after="40" w:before="40" w:line="240"/>
      <w:jc w:val="right"/>
    </w:pPr>
    <w:rPr>
      <w:rFonts w:ascii="Geist Mono" w:cs="Geist Mono" w:eastAsia="Geist Mono" w:hAnsi="Geist Mono"/>
      <w:color w:val="16181A"/>
      <w:sz w:val="18"/>
      <w:szCs w:val="18"/>
    </w:rPr>
  </w:style>
  <w:style w:type="paragraph" w:styleId="BauLynqFussnote">
    <w:name w:val="BauLynq Fußnote"/>
    <w:basedOn w:val="Normal"/>
    <w:next w:val="BauLynqFussnote"/>
    <w:qFormat/>
    <w:pPr>
      <w:spacing w:after="0" w:before="0" w:line="220"/>
    </w:pPr>
    <w:rPr>
      <w:rFonts w:ascii="Geist Mono" w:cs="Geist Mono" w:eastAsia="Geist Mono" w:hAnsi="Geist Mono"/>
      <w:color w:val="8C9095"/>
      <w:sz w:val="15"/>
      <w:szCs w:val="15"/>
    </w:rPr>
  </w:style>
  <w:style w:type="paragraph" w:styleId="TOC1">
    <w:name w:val="toc 1"/>
    <w:basedOn w:val="Normal"/>
    <w:next w:val="Normal"/>
    <w:pPr>
      <w:tabs>
        <w:tab w:val="right" w:pos="9412" w:leader="dot"/>
      </w:tabs>
      <w:spacing w:after="0" w:before="160" w:line="260"/>
    </w:pPr>
    <w:rPr>
      <w:rFonts w:ascii="Plus Jakarta Sans SemiBold" w:cs="Plus Jakarta Sans SemiBold" w:eastAsia="Plus Jakarta Sans SemiBold" w:hAnsi="Plus Jakarta Sans SemiBold"/>
      <w:color w:val="16181A"/>
      <w:sz w:val="20"/>
      <w:szCs w:val="20"/>
    </w:rPr>
  </w:style>
  <w:style w:type="paragraph" w:styleId="TOC2">
    <w:name w:val="toc 2"/>
    <w:basedOn w:val="Normal"/>
    <w:next w:val="Normal"/>
    <w:pPr>
      <w:tabs>
        <w:tab w:val="right" w:pos="9412" w:leader="dot"/>
      </w:tabs>
      <w:spacing w:after="0" w:before="40" w:line="260"/>
      <w:ind w:left="280"/>
    </w:pPr>
    <w:rPr>
      <w:rFonts w:ascii="Plus Jakarta Sans" w:cs="Plus Jakarta Sans" w:eastAsia="Plus Jakarta Sans" w:hAnsi="Plus Jakarta Sans"/>
      <w:color w:val="53575B"/>
      <w:sz w:val="20"/>
      <w:szCs w:val="20"/>
    </w:rPr>
  </w:style>
  <w:style w:type="paragraph" w:styleId="TOC3">
    <w:name w:val="toc 3"/>
    <w:basedOn w:val="Normal"/>
    <w:next w:val="Normal"/>
    <w:pPr>
      <w:tabs>
        <w:tab w:val="right" w:pos="9412" w:leader="dot"/>
      </w:tabs>
      <w:spacing w:after="0" w:before="40" w:line="260"/>
      <w:ind w:left="560"/>
    </w:pPr>
    <w:rPr>
      <w:rFonts w:ascii="Plus Jakarta Sans" w:cs="Plus Jakarta Sans" w:eastAsia="Plus Jakarta Sans" w:hAnsi="Plus Jakarta Sans"/>
      <w:color w:val="53575B"/>
      <w:sz w:val="19"/>
      <w:szCs w:val="19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baulynq-mark-rev.png"/><Relationship Id="rId10" Type="http://schemas.openxmlformats.org/officeDocument/2006/relationships/fontTable" Target="fontTable.xml"/><Relationship Id="rIdBauLynqTheme" Type="http://schemas.openxmlformats.org/officeDocument/2006/relationships/theme" Target="theme/theme1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BauLynq">
  <a:themeElements>
    <a:clrScheme name="BauLynq">
      <a:dk1>
        <a:srgbClr val="16181A"/>
      </a:dk1>
      <a:lt1>
        <a:srgbClr val="FFFFFF"/>
      </a:lt1>
      <a:dk2>
        <a:srgbClr val="0B0D10"/>
      </a:dk2>
      <a:lt2>
        <a:srgbClr val="F4F4F1"/>
      </a:lt2>
      <a:accent1>
        <a:srgbClr val="8E2222"/>
      </a:accent1>
      <a:accent2>
        <a:srgbClr val="A09BFF"/>
      </a:accent2>
      <a:accent3>
        <a:srgbClr val="007A4B"/>
      </a:accent3>
      <a:accent4>
        <a:srgbClr val="60A6FF"/>
      </a:accent4>
      <a:accent5>
        <a:srgbClr val="9B6000"/>
      </a:accent5>
      <a:accent6>
        <a:srgbClr val="DE75B4"/>
      </a:accent6>
      <a:hlink>
        <a:srgbClr val="8E2222"/>
      </a:hlink>
      <a:folHlink>
        <a:srgbClr val="6B1112"/>
      </a:folHlink>
    </a:clrScheme>
    <a:fontScheme name="BauLynq">
      <a:majorFont>
        <a:latin typeface="Plus Jakarta Sans ExtraBold"/>
        <a:ea typeface=""/>
        <a:cs typeface=""/>
      </a:majorFont>
      <a:minorFont>
        <a:latin typeface="Plus Jakarta Sans"/>
        <a:ea typeface=""/>
        <a:cs typeface=""/>
      </a:minorFont>
    </a:fontScheme>
    <a:fmtScheme name="BauLynq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BauLynq — Projektbericht</dc:title>
  <dc:creator>BauLynq GmbH</dc:creator>
  <dc:description>Projektbericht Quartier Nord, Bauabschnitt 2</dc:description>
  <cp:lastModifiedBy>Un-named</cp:lastModifiedBy>
  <cp:revision>1</cp:revision>
  <dcterms:created xsi:type="dcterms:W3CDTF">2026-07-29T08:07:29.212Z</dcterms:created>
  <dcterms:modified xsi:type="dcterms:W3CDTF">2026-07-29T08:07:29.212Z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