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80" w:before="0" w:line="220"/>
      </w:pPr>
      <w:r>
        <w:rPr>
          <w:rFonts w:ascii="Geist Mono" w:cs="Geist Mono" w:eastAsia="Geist Mono" w:hAnsi="Geist Mono"/>
          <w:b w:val="false"/>
          <w:bCs w:val="false"/>
          <w:color w:val="8C9095"/>
          <w:spacing w:val="8"/>
          <w:sz w:val="14"/>
          <w:szCs w:val="14"/>
        </w:rPr>
        <w:t xml:space="preserve">BauLynq GmbH · Chausseestraße 112 · 10115 Berlin</w:t>
      </w:r>
    </w:p>
    <w:p>
      <w:pPr>
        <w:spacing w:after="0" w:before="0" w:line="280"/>
      </w:pPr>
      <w:r>
        <w:rPr>
          <w:rFonts w:ascii="Plus Jakarta Sans" w:cs="Plus Jakarta Sans" w:eastAsia="Plus Jakarta Sans" w:hAnsi="Plus Jakarta Sans"/>
          <w:b w:val="false"/>
          <w:bCs w:val="false"/>
          <w:i w:val="false"/>
          <w:iCs w:val="false"/>
          <w:color w:val="16181A"/>
          <w:sz w:val="21"/>
          <w:szCs w:val="21"/>
        </w:rPr>
        <w:t xml:space="preserve">Hartmann &amp; Söhne Bauunternehmung GmbH</w:t>
      </w:r>
    </w:p>
    <w:p>
      <w:pPr>
        <w:spacing w:after="0" w:before="0" w:line="280"/>
      </w:pPr>
      <w:r>
        <w:rPr>
          <w:rFonts w:ascii="Plus Jakarta Sans" w:cs="Plus Jakarta Sans" w:eastAsia="Plus Jakarta Sans" w:hAnsi="Plus Jakarta Sans"/>
          <w:b w:val="false"/>
          <w:bCs w:val="false"/>
          <w:i w:val="false"/>
          <w:iCs w:val="false"/>
          <w:color w:val="16181A"/>
          <w:sz w:val="21"/>
          <w:szCs w:val="21"/>
        </w:rPr>
        <w:t xml:space="preserve">Herrn Dipl.-Ing. Andreas Hartmann</w:t>
      </w:r>
    </w:p>
    <w:p>
      <w:pPr>
        <w:spacing w:after="0" w:before="0" w:line="280"/>
      </w:pPr>
      <w:r>
        <w:rPr>
          <w:rFonts w:ascii="Plus Jakarta Sans" w:cs="Plus Jakarta Sans" w:eastAsia="Plus Jakarta Sans" w:hAnsi="Plus Jakarta Sans"/>
          <w:b w:val="false"/>
          <w:bCs w:val="false"/>
          <w:i w:val="false"/>
          <w:iCs w:val="false"/>
          <w:color w:val="16181A"/>
          <w:sz w:val="21"/>
          <w:szCs w:val="21"/>
        </w:rPr>
        <w:t xml:space="preserve">Industriestraße 45</w:t>
      </w:r>
    </w:p>
    <w:p>
      <w:pPr>
        <w:spacing w:after="480" w:before="0" w:line="280"/>
      </w:pPr>
      <w:r>
        <w:rPr>
          <w:rFonts w:ascii="Plus Jakarta Sans" w:cs="Plus Jakarta Sans" w:eastAsia="Plus Jakarta Sans" w:hAnsi="Plus Jakarta Sans"/>
          <w:b w:val="false"/>
          <w:bCs w:val="false"/>
          <w:i w:val="false"/>
          <w:iCs w:val="false"/>
          <w:color w:val="16181A"/>
          <w:sz w:val="21"/>
          <w:szCs w:val="21"/>
        </w:rPr>
        <w:t xml:space="preserve">30880 Laatzen</w:t>
      </w:r>
    </w:p>
    <w:p>
      <w:pPr>
        <w:spacing w:after="480" w:before="0" w:line="260"/>
        <w:jc w:val="right"/>
      </w:pPr>
      <w:r>
        <w:rPr>
          <w:rFonts w:ascii="Geist Mono" w:cs="Geist Mono" w:eastAsia="Geist Mono" w:hAnsi="Geist Mono"/>
          <w:b w:val="false"/>
          <w:bCs w:val="false"/>
          <w:color w:val="53575B"/>
          <w:sz w:val="18"/>
          <w:szCs w:val="18"/>
        </w:rPr>
        <w:t xml:space="preserve">Datum: TT.MM.JJJJ</w:t>
      </w:r>
    </w:p>
    <w:p>
      <w:pPr>
        <w:spacing w:after="320" w:before="0" w:line="280"/>
      </w:pPr>
      <w:r>
        <w:rPr>
          <w:rFonts w:ascii="Plus Jakarta Sans SemiBold" w:cs="Plus Jakarta Sans SemiBold" w:eastAsia="Plus Jakarta Sans SemiBold" w:hAnsi="Plus Jakarta Sans SemiBold"/>
          <w:b w:val="false"/>
          <w:bCs w:val="false"/>
          <w:i w:val="false"/>
          <w:iCs w:val="false"/>
          <w:color w:val="16181A"/>
          <w:sz w:val="22"/>
          <w:szCs w:val="22"/>
        </w:rPr>
        <w:t xml:space="preserve">Betreff: </w:t>
      </w:r>
      <w:r>
        <w:rPr>
          <w:rFonts w:ascii="Plus Jakarta Sans SemiBold" w:cs="Plus Jakarta Sans SemiBold" w:eastAsia="Plus Jakarta Sans SemiBold" w:hAnsi="Plus Jakarta Sans SemiBold"/>
          <w:b w:val="false"/>
          <w:bCs w:val="false"/>
          <w:i w:val="false"/>
          <w:iCs w:val="false"/>
          <w:color w:val="16181A"/>
          <w:sz w:val="22"/>
          <w:szCs w:val="22"/>
        </w:rPr>
        <w:t xml:space="preserve">Bauvorhaben </w:t>
      </w:r>
      <w:r>
        <w:rPr>
          <w:rFonts w:ascii="Plus Jakarta Sans SemiBold" w:cs="Plus Jakarta Sans SemiBold" w:eastAsia="Plus Jakarta Sans SemiBold" w:hAnsi="Plus Jakarta Sans SemiBold"/>
          <w:b w:val="false"/>
          <w:bCs w:val="false"/>
          <w:i w:val="false"/>
          <w:iCs w:val="false"/>
          <w:color w:val="8E2222"/>
          <w:sz w:val="22"/>
          <w:szCs w:val="22"/>
        </w:rPr>
        <w:t xml:space="preserve">„Quartier Nord“</w:t>
      </w:r>
      <w:r>
        <w:rPr>
          <w:rFonts w:ascii="Plus Jakarta Sans SemiBold" w:cs="Plus Jakarta Sans SemiBold" w:eastAsia="Plus Jakarta Sans SemiBold" w:hAnsi="Plus Jakarta Sans SemiBold"/>
          <w:b w:val="false"/>
          <w:bCs w:val="false"/>
          <w:i w:val="false"/>
          <w:iCs w:val="false"/>
          <w:color w:val="16181A"/>
          <w:sz w:val="22"/>
          <w:szCs w:val="22"/>
        </w:rPr>
        <w:t xml:space="preserve"> — Nachtrag N-07 und Abschlagsrechnung AR-09</w:t>
      </w:r>
    </w:p>
    <w:p>
      <w:pPr>
        <w:spacing w:after="240" w:before="0" w:line="300"/>
      </w:pPr>
      <w:r>
        <w:rPr>
          <w:rFonts w:ascii="Plus Jakarta Sans" w:cs="Plus Jakarta Sans" w:eastAsia="Plus Jakarta Sans" w:hAnsi="Plus Jakarta Sans"/>
          <w:b w:val="false"/>
          <w:bCs w:val="false"/>
          <w:i w:val="false"/>
          <w:iCs w:val="false"/>
          <w:color w:val="16181A"/>
          <w:sz w:val="21"/>
          <w:szCs w:val="21"/>
        </w:rPr>
        <w:t xml:space="preserve">Sehr geehrte Damen und Herren,</w:t>
      </w:r>
    </w:p>
    <w:p>
      <w:pPr>
        <w:pStyle w:val="BauLynqFliesstext"/>
        <w:spacing w:after="240" w:before="0" w:line="300"/>
      </w:pPr>
      <w:r>
        <w:rPr>
          <w:rFonts w:ascii="Plus Jakarta Sans" w:cs="Plus Jakarta Sans" w:eastAsia="Plus Jakarta Sans" w:hAnsi="Plus Jakarta Sans"/>
          <w:b w:val="false"/>
          <w:bCs w:val="false"/>
          <w:i w:val="false"/>
          <w:iCs w:val="false"/>
          <w:color w:val="16181A"/>
          <w:sz w:val="21"/>
          <w:szCs w:val="21"/>
        </w:rPr>
        <w:t xml:space="preserve">vielen Dank für die Übersendung der geprüften Unterlagen zum Bauabschnitt 2. Das Leistungsverzeichnis liegt uns in der Fassung vom TT.MM.JJJJ vor. Die Positionen 3.10 bis 3.44 haben wir mit dem Aufmaß vom TT.MM.JJJJ abgeglichen; Abweichungen ergeben sich ausschließlich bei den Mengenansätzen der Position 3.27 (Verbau, Achsen E bis H).</w:t>
      </w:r>
    </w:p>
    <w:p>
      <w:pPr>
        <w:pStyle w:val="BauLynqFliesstext"/>
        <w:spacing w:after="240" w:before="0" w:line="300"/>
      </w:pPr>
      <w:r>
        <w:rPr>
          <w:rFonts w:ascii="Plus Jakarta Sans" w:cs="Plus Jakarta Sans" w:eastAsia="Plus Jakarta Sans" w:hAnsi="Plus Jakarta Sans"/>
          <w:b w:val="false"/>
          <w:bCs w:val="false"/>
          <w:i w:val="false"/>
          <w:iCs w:val="false"/>
          <w:color w:val="16181A"/>
          <w:sz w:val="21"/>
          <w:szCs w:val="21"/>
        </w:rPr>
        <w:t xml:space="preserve">Der Nachtrag N-07 umfasst die zusätzliche Sicherung der Baugrubensohle in diesem Bereich. Die Nachtragssumme beträgt 128.400,00 € netto und ist im beigefügten Angebot positionsweise aufgeschlüsselt. Wir bitten um Freigabe bis zum TT.MM.JJJJ, damit die Ausführung ohne Unterbrechung des Bauablaufs erfolgen kann.</w:t>
      </w:r>
    </w:p>
    <w:p>
      <w:pPr>
        <w:pStyle w:val="BauLynqFliesstext"/>
        <w:spacing w:after="400" w:before="0" w:line="300"/>
      </w:pPr>
      <w:r>
        <w:rPr>
          <w:rFonts w:ascii="Plus Jakarta Sans" w:cs="Plus Jakarta Sans" w:eastAsia="Plus Jakarta Sans" w:hAnsi="Plus Jakarta Sans"/>
          <w:b w:val="false"/>
          <w:bCs w:val="false"/>
          <w:i w:val="false"/>
          <w:iCs w:val="false"/>
          <w:color w:val="16181A"/>
          <w:sz w:val="21"/>
          <w:szCs w:val="21"/>
        </w:rPr>
        <w:t xml:space="preserve">Die Abschlagsrechnung AR-09 über 412.750,00 € netto haben wir Ihnen mit gleicher Post übersandt; sie bildet den Leistungsstand zum TT.MM.JJJJ ab. Der Zahlungsplan nach § 16 VOB/B bleibt unberührt, die Skontofrist endet am TT.MM.JJJJ. Für Rückfragen zu einzelnen Positionen stehen wir Ihnen gern zur Verfügung.</w:t>
      </w:r>
    </w:p>
    <w:p>
      <w:pPr>
        <w:spacing w:after="80" w:before="0" w:line="300"/>
      </w:pPr>
      <w:r>
        <w:rPr>
          <w:rFonts w:ascii="Plus Jakarta Sans" w:cs="Plus Jakarta Sans" w:eastAsia="Plus Jakarta Sans" w:hAnsi="Plus Jakarta Sans"/>
          <w:b w:val="false"/>
          <w:bCs w:val="false"/>
          <w:i w:val="false"/>
          <w:iCs w:val="false"/>
          <w:color w:val="16181A"/>
          <w:sz w:val="21"/>
          <w:szCs w:val="21"/>
        </w:rPr>
        <w:t xml:space="preserve">Mit freundlichen Grüßen</w:t>
      </w:r>
    </w:p>
    <w:p>
      <w:pPr>
        <w:spacing w:after="0" w:before="0" w:line="920" w:lineRule="exact"/>
      </w:pPr>
    </w:p>
    <w:p>
      <w:pPr>
        <w:spacing w:after="0" w:before="0" w:line="260"/>
      </w:pPr>
      <w:r>
        <w:rPr>
          <w:rFonts w:ascii="Plus Jakarta Sans SemiBold" w:cs="Plus Jakarta Sans SemiBold" w:eastAsia="Plus Jakarta Sans SemiBold" w:hAnsi="Plus Jakarta Sans SemiBold"/>
          <w:b w:val="false"/>
          <w:bCs w:val="false"/>
          <w:i w:val="false"/>
          <w:iCs w:val="false"/>
          <w:color w:val="16181A"/>
          <w:sz w:val="22"/>
          <w:szCs w:val="22"/>
        </w:rPr>
        <w:t xml:space="preserve">Mohamad El Ejel</w:t>
      </w:r>
    </w:p>
    <w:p>
      <w:pPr>
        <w:spacing w:after="0" w:before="0" w:line="260"/>
      </w:pPr>
      <w:r>
        <w:rPr>
          <w:rFonts w:ascii="Plus Jakarta Sans" w:cs="Plus Jakarta Sans" w:eastAsia="Plus Jakarta Sans" w:hAnsi="Plus Jakarta Sans"/>
          <w:b w:val="false"/>
          <w:bCs w:val="false"/>
          <w:i w:val="false"/>
          <w:iCs w:val="false"/>
          <w:color w:val="53575B"/>
          <w:sz w:val="19"/>
          <w:szCs w:val="19"/>
        </w:rPr>
        <w:t xml:space="preserve">Geschäftsführer</w:t>
      </w:r>
    </w:p>
    <w:p>
      <w:pPr>
        <w:spacing w:after="400" w:before="0" w:line="260"/>
      </w:pPr>
      <w:r>
        <w:rPr>
          <w:rFonts w:ascii="Geist Mono" w:cs="Geist Mono" w:eastAsia="Geist Mono" w:hAnsi="Geist Mono"/>
          <w:b w:val="false"/>
          <w:bCs w:val="false"/>
          <w:caps/>
          <w:color w:val="8C9095"/>
          <w:spacing w:val="18"/>
          <w:sz w:val="15"/>
          <w:szCs w:val="15"/>
        </w:rPr>
        <w:t xml:space="preserve">BauLynq GmbH</w:t>
      </w:r>
    </w:p>
    <w:p>
      <w:pPr>
        <w:pBdr>
          <w:bottom w:val="single" w:color="E2E3E0" w:sz="4" w:space="1"/>
        </w:pBdr>
        <w:spacing w:after="80" w:before="0" w:line="240"/>
      </w:pPr>
      <w:r>
        <w:rPr>
          <w:rFonts w:ascii="Geist Mono" w:cs="Geist Mono" w:eastAsia="Geist Mono" w:hAnsi="Geist Mono"/>
          <w:b w:val="false"/>
          <w:bCs w:val="false"/>
          <w:caps/>
          <w:color w:val="8C9095"/>
          <w:spacing w:val="22"/>
          <w:sz w:val="15"/>
          <w:szCs w:val="15"/>
        </w:rPr>
        <w:t xml:space="preserve">Anlagen</w:t>
      </w:r>
    </w:p>
    <w:p>
      <w:pPr>
        <w:tabs>
          <w:tab w:val="right" w:pos="9412" w:leader="dot"/>
        </w:tabs>
        <w:spacing w:after="40" w:before="0" w:line="260"/>
      </w:pPr>
      <w:r>
        <w:rPr>
          <w:rFonts w:ascii="Plus Jakarta Sans" w:cs="Plus Jakarta Sans" w:eastAsia="Plus Jakarta Sans" w:hAnsi="Plus Jakarta Sans"/>
          <w:b w:val="false"/>
          <w:bCs w:val="false"/>
          <w:i w:val="false"/>
          <w:iCs w:val="false"/>
          <w:color w:val="53575B"/>
          <w:sz w:val="19"/>
          <w:szCs w:val="19"/>
        </w:rPr>
        <w:t xml:space="preserve">Nachtragsangebot N-07, 12 Seiten</w:t>
      </w:r>
      <w:r>
        <w:tab/>
      </w:r>
      <w:r>
        <w:rPr>
          <w:rFonts w:ascii="Geist Mono" w:cs="Geist Mono" w:eastAsia="Geist Mono" w:hAnsi="Geist Mono"/>
          <w:b w:val="false"/>
          <w:bCs w:val="false"/>
          <w:color w:val="53575B"/>
          <w:sz w:val="17"/>
          <w:szCs w:val="17"/>
        </w:rPr>
        <w:t xml:space="preserve">Anlage 1</w:t>
      </w:r>
    </w:p>
    <w:p>
      <w:pPr>
        <w:tabs>
          <w:tab w:val="right" w:pos="9412" w:leader="dot"/>
        </w:tabs>
        <w:spacing w:after="40" w:before="0" w:line="260"/>
      </w:pPr>
      <w:r>
        <w:rPr>
          <w:rFonts w:ascii="Plus Jakarta Sans" w:cs="Plus Jakarta Sans" w:eastAsia="Plus Jakarta Sans" w:hAnsi="Plus Jakarta Sans"/>
          <w:b w:val="false"/>
          <w:bCs w:val="false"/>
          <w:i w:val="false"/>
          <w:iCs w:val="false"/>
          <w:color w:val="53575B"/>
          <w:sz w:val="19"/>
          <w:szCs w:val="19"/>
        </w:rPr>
        <w:t xml:space="preserve">Aufmaßblatt zu Position 3.27</w:t>
      </w:r>
      <w:r>
        <w:tab/>
      </w:r>
      <w:r>
        <w:rPr>
          <w:rFonts w:ascii="Geist Mono" w:cs="Geist Mono" w:eastAsia="Geist Mono" w:hAnsi="Geist Mono"/>
          <w:b w:val="false"/>
          <w:bCs w:val="false"/>
          <w:color w:val="53575B"/>
          <w:sz w:val="17"/>
          <w:szCs w:val="17"/>
        </w:rPr>
        <w:t xml:space="preserve">Anlage 2</w:t>
      </w:r>
    </w:p>
    <w:p>
      <w:pPr>
        <w:tabs>
          <w:tab w:val="right" w:pos="9412" w:leader="dot"/>
        </w:tabs>
        <w:spacing w:after="40" w:before="0" w:line="260"/>
      </w:pPr>
      <w:r>
        <w:rPr>
          <w:rFonts w:ascii="Plus Jakarta Sans" w:cs="Plus Jakarta Sans" w:eastAsia="Plus Jakarta Sans" w:hAnsi="Plus Jakarta Sans"/>
          <w:b w:val="false"/>
          <w:bCs w:val="false"/>
          <w:i w:val="false"/>
          <w:iCs w:val="false"/>
          <w:color w:val="53575B"/>
          <w:sz w:val="19"/>
          <w:szCs w:val="19"/>
        </w:rPr>
        <w:t xml:space="preserve">Abschlagsrechnung AR-09</w:t>
      </w:r>
      <w:r>
        <w:tab/>
      </w:r>
      <w:r>
        <w:rPr>
          <w:rFonts w:ascii="Geist Mono" w:cs="Geist Mono" w:eastAsia="Geist Mono" w:hAnsi="Geist Mono"/>
          <w:b w:val="false"/>
          <w:bCs w:val="false"/>
          <w:color w:val="53575B"/>
          <w:sz w:val="17"/>
          <w:szCs w:val="17"/>
        </w:rPr>
        <w:t xml:space="preserve">Anlage 3</w:t>
      </w:r>
    </w:p>
    <w:sectPr>
      <w:headerReference w:type="default" r:id="rId7"/>
      <w:footerReference w:type="default" r:id="rId8"/>
      <w:pgSz w:w="11906" w:h="16838" w:orient="portrait"/>
      <w:pgMar w:top="2608" w:right="1247" w:bottom="1928" w:left="1247" w:header="1134" w:footer="794"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bottom w:val="single" w:color="E2E3E0" w:sz="6" w:space="1"/>
      </w:pBdr>
      <w:spacing w:after="80" w:before="0" w:line="20"/>
    </w:pPr>
  </w:p>
  <w:tbl>
    <w:tblPr>
      <w:tblW w:type="dxa" w:w="9412"/>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type="dxa" w:w="0"/>
        <w:left w:type="dxa" w:w="0"/>
        <w:bottom w:type="dxa" w:w="0"/>
        <w:right w:type="dxa" w:w="0"/>
      </w:tblCellMar>
    </w:tblPr>
    <w:tblGrid>
      <w:gridCol w:w="3400"/>
      <w:gridCol w:w="3200"/>
      <w:gridCol w:w="2812"/>
    </w:tblGrid>
    <w:tr>
      <w:trPr>
        <w:cantSplit/>
      </w:trPr>
      <w:tc>
        <w:tcPr>
          <w:tcW w:type="dxa" w:w="3400"/>
          <w:tcBorders>
            <w:top w:val="none" w:color="auto" w:sz="0" w:space="0"/>
            <w:left w:val="none" w:color="auto" w:sz="0" w:space="0"/>
            <w:bottom w:val="none" w:color="auto" w:sz="0" w:space="0"/>
            <w:right w:val="none" w:color="auto" w:sz="0" w:space="0"/>
          </w:tcBorders>
          <w:vAlign w:val="top"/>
        </w:tcPr>
        <w:p>
          <w:pPr>
            <w:spacing w:after="0" w:before="0" w:line="220"/>
          </w:pPr>
          <w:r>
            <w:rPr>
              <w:rFonts w:ascii="Geist Mono" w:cs="Geist Mono" w:eastAsia="Geist Mono" w:hAnsi="Geist Mono"/>
              <w:color w:val="8C9095"/>
              <w:sz w:val="15"/>
              <w:szCs w:val="15"/>
            </w:rPr>
            <w:t xml:space="preserve">BauLynq GmbH</w:t>
          </w:r>
        </w:p>
        <w:p>
          <w:pPr>
            <w:spacing w:after="0" w:before="0" w:line="220"/>
          </w:pPr>
          <w:r>
            <w:rPr>
              <w:rFonts w:ascii="Geist Mono" w:cs="Geist Mono" w:eastAsia="Geist Mono" w:hAnsi="Geist Mono"/>
              <w:color w:val="8C9095"/>
              <w:sz w:val="15"/>
              <w:szCs w:val="15"/>
            </w:rPr>
            <w:t xml:space="preserve">Chausseestraße 112</w:t>
          </w:r>
        </w:p>
        <w:p>
          <w:pPr>
            <w:spacing w:after="0" w:before="0" w:line="220"/>
          </w:pPr>
          <w:r>
            <w:rPr>
              <w:rFonts w:ascii="Geist Mono" w:cs="Geist Mono" w:eastAsia="Geist Mono" w:hAnsi="Geist Mono"/>
              <w:color w:val="8C9095"/>
              <w:sz w:val="15"/>
              <w:szCs w:val="15"/>
            </w:rPr>
            <w:t xml:space="preserve">10115 Berlin</w:t>
          </w:r>
        </w:p>
      </w:tc>
      <w:tc>
        <w:tcPr>
          <w:tcW w:type="dxa" w:w="3200"/>
          <w:tcBorders>
            <w:top w:val="none" w:color="auto" w:sz="0" w:space="0"/>
            <w:left w:val="none" w:color="auto" w:sz="0" w:space="0"/>
            <w:bottom w:val="none" w:color="auto" w:sz="0" w:space="0"/>
            <w:right w:val="none" w:color="auto" w:sz="0" w:space="0"/>
          </w:tcBorders>
          <w:vAlign w:val="top"/>
        </w:tcPr>
        <w:p>
          <w:pPr>
            <w:spacing w:after="0" w:before="0" w:line="220"/>
          </w:pPr>
          <w:r>
            <w:rPr>
              <w:rFonts w:ascii="Geist Mono" w:cs="Geist Mono" w:eastAsia="Geist Mono" w:hAnsi="Geist Mono"/>
              <w:color w:val="8C9095"/>
              <w:sz w:val="15"/>
              <w:szCs w:val="15"/>
            </w:rPr>
            <w:t xml:space="preserve">eng.mejel1@gmail.com</w:t>
          </w:r>
        </w:p>
        <w:p>
          <w:pPr>
            <w:spacing w:after="0" w:before="0" w:line="220"/>
          </w:pPr>
          <w:r>
            <w:rPr>
              <w:rFonts w:ascii="Geist Mono" w:cs="Geist Mono" w:eastAsia="Geist Mono" w:hAnsi="Geist Mono"/>
              <w:color w:val="8C9095"/>
              <w:sz w:val="15"/>
              <w:szCs w:val="15"/>
            </w:rPr>
            <w:t xml:space="preserve">+961 3 326 541</w:t>
          </w:r>
        </w:p>
        <w:p>
          <w:pPr>
            <w:spacing w:after="0" w:before="0" w:line="220"/>
          </w:pPr>
          <w:r>
            <w:rPr>
              <w:rFonts w:ascii="Geist Mono" w:cs="Geist Mono" w:eastAsia="Geist Mono" w:hAnsi="Geist Mono"/>
              <w:color w:val="8C9095"/>
              <w:sz w:val="15"/>
              <w:szCs w:val="15"/>
            </w:rPr>
            <w:t xml:space="preserve">USt-IdNr. DE 315 442 900</w:t>
          </w:r>
        </w:p>
      </w:tc>
      <w:tc>
        <w:tcPr>
          <w:tcW w:type="dxa" w:w="2812"/>
          <w:tcBorders>
            <w:top w:val="none" w:color="auto" w:sz="0" w:space="0"/>
            <w:left w:val="none" w:color="auto" w:sz="0" w:space="0"/>
            <w:bottom w:val="none" w:color="auto" w:sz="0" w:space="0"/>
            <w:right w:val="none" w:color="auto" w:sz="0" w:space="0"/>
          </w:tcBorders>
          <w:vAlign w:val="top"/>
        </w:tcPr>
        <w:p>
          <w:pPr>
            <w:spacing w:after="0" w:before="0" w:line="220"/>
            <w:jc w:val="right"/>
          </w:pPr>
          <w:r>
            <w:rPr>
              <w:rFonts w:ascii="Geist Mono" w:cs="Geist Mono" w:eastAsia="Geist Mono" w:hAnsi="Geist Mono"/>
              <w:color w:val="8C9095"/>
              <w:sz w:val="15"/>
              <w:szCs w:val="15"/>
            </w:rPr>
            <w:t xml:space="preserve">www.baulynq.com</w:t>
          </w:r>
        </w:p>
        <w:p>
          <w:pPr>
            <w:spacing w:after="0" w:before="0" w:line="220"/>
            <w:jc w:val="right"/>
          </w:pPr>
          <w:r>
            <w:rPr>
              <w:rFonts w:ascii="Geist Mono" w:cs="Geist Mono" w:eastAsia="Geist Mono" w:hAnsi="Geist Mono"/>
              <w:color w:val="8C9095"/>
              <w:sz w:val="15"/>
              <w:szCs w:val="15"/>
            </w:rPr>
            <w:t xml:space="preserve">Seite </w:t>
          </w:r>
          <w:r>
            <w:rPr>
              <w:rFonts w:ascii="Geist Mono" w:cs="Geist Mono" w:eastAsia="Geist Mono" w:hAnsi="Geist Mono"/>
              <w:color w:val="8C9095"/>
              <w:sz w:val="15"/>
              <w:szCs w:val="15"/>
            </w:rPr>
            <w:t xml:space="preserve"/>
          </w:r>
          <w:r>
            <w:rPr>
              <w:rFonts w:ascii="Geist Mono" w:cs="Geist Mono" w:eastAsia="Geist Mono" w:hAnsi="Geist Mono"/>
              <w:color w:val="8C9095"/>
              <w:sz w:val="15"/>
              <w:szCs w:val="15"/>
            </w:rPr>
            <w:fldChar w:fldCharType="begin"/>
            <w:instrText xml:space="preserve">PAGE</w:instrText>
            <w:fldChar w:fldCharType="separate"/>
            <w:fldChar w:fldCharType="end"/>
          </w:r>
          <w:r>
            <w:rPr>
              <w:rFonts w:ascii="Geist Mono" w:cs="Geist Mono" w:eastAsia="Geist Mono" w:hAnsi="Geist Mono"/>
              <w:color w:val="8C9095"/>
              <w:sz w:val="15"/>
              <w:szCs w:val="15"/>
            </w:rPr>
            <w:t xml:space="preserve"> von </w:t>
          </w:r>
          <w:r>
            <w:rPr>
              <w:rFonts w:ascii="Geist Mono" w:cs="Geist Mono" w:eastAsia="Geist Mono" w:hAnsi="Geist Mono"/>
              <w:color w:val="8C9095"/>
              <w:sz w:val="15"/>
              <w:szCs w:val="15"/>
            </w:rPr>
            <w:fldChar w:fldCharType="begin"/>
            <w:instrText xml:space="preserve">NUMPAGES</w:instrText>
            <w:fldChar w:fldCharType="separate"/>
            <w:fldChar w:fldCharType="end"/>
          </w:r>
        </w:p>
        <w:p>
          <w:pPr>
            <w:spacing w:after="0" w:before="0" w:line="220"/>
            <w:jc w:val="right"/>
          </w:pPr>
          <w:r>
            <w:rPr>
              <w:rFonts w:ascii="Geist Mono" w:cs="Geist Mono" w:eastAsia="Geist Mono" w:hAnsi="Geist Mono"/>
              <w:color w:val="8C9095"/>
              <w:sz w:val="15"/>
              <w:szCs w:val="15"/>
            </w:rPr>
            <w:t xml:space="preserve">„Ein Projekt. Ein Datensatz.“</w:t>
          </w:r>
        </w:p>
      </w:tc>
    </w:tr>
  </w:tbl>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tbl>
    <w:tblPr>
      <w:tblW w:type="dxa" w:w="9412"/>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type="dxa" w:w="0"/>
        <w:left w:type="dxa" w:w="0"/>
        <w:bottom w:type="dxa" w:w="0"/>
        <w:right w:type="dxa" w:w="0"/>
      </w:tblCellMar>
    </w:tblPr>
    <w:tblGrid>
      <w:gridCol w:w="5000"/>
      <w:gridCol w:w="4412"/>
    </w:tblGrid>
    <w:tr>
      <w:trPr>
        <w:cantSplit/>
      </w:trPr>
      <w:tc>
        <w:tcPr>
          <w:tcW w:type="dxa" w:w="5000"/>
          <w:tcBorders>
            <w:top w:val="none" w:color="auto" w:sz="0" w:space="0"/>
            <w:left w:val="none" w:color="auto" w:sz="0" w:space="0"/>
            <w:bottom w:val="none" w:color="auto" w:sz="0" w:space="0"/>
            <w:right w:val="none" w:color="auto" w:sz="0" w:space="0"/>
          </w:tcBorders>
          <w:vAlign w:val="center"/>
        </w:tcPr>
        <w:p>
          <w:pPr>
            <w:spacing w:after="0" w:before="0" w:line="740" w:lineRule="atLeast"/>
          </w:pPr>
          <w:r>
            <w:drawing>
              <wp:inline distT="0" distB="0" distL="0" distR="0">
                <wp:extent cx="431800" cy="431800"/>
                <wp:effectExtent t="0" r="0" b="0" l="0"/>
                <wp:docPr id="1" name="BauLynq Mark" descr="BauLynq Mark" title="BauLynq 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auLynq Mark" descr="BauLynq Mark"/>
                        <pic:cNvPicPr>
                          <a:picLocks noChangeAspect="1" noChangeArrowheads="1"/>
                        </pic:cNvPicPr>
                      </pic:nvPicPr>
                      <pic:blipFill>
                        <a:blip r:embed="rId0" cstate="none"/>
                        <a:srcRect/>
                        <a:stretch>
                          <a:fillRect/>
                        </a:stretch>
                      </pic:blipFill>
                      <pic:spPr bwMode="auto">
                        <a:xfrm>
                          <a:off x="0" y="0"/>
                          <a:ext cx="431800" cy="431800"/>
                        </a:xfrm>
                        <a:prstGeom prst="rect">
                          <a:avLst/>
                        </a:prstGeom>
                      </pic:spPr>
                    </pic:pic>
                  </a:graphicData>
                </a:graphic>
              </wp:inline>
            </w:drawing>
          </w:r>
        </w:p>
      </w:tc>
      <w:tc>
        <w:tcPr>
          <w:tcW w:type="dxa" w:w="4412"/>
          <w:tcBorders>
            <w:top w:val="none" w:color="auto" w:sz="0" w:space="0"/>
            <w:left w:val="none" w:color="auto" w:sz="0" w:space="0"/>
            <w:bottom w:val="none" w:color="auto" w:sz="0" w:space="0"/>
            <w:right w:val="none" w:color="auto" w:sz="0" w:space="0"/>
          </w:tcBorders>
          <w:vAlign w:val="center"/>
        </w:tcPr>
        <w:p>
          <w:pPr>
            <w:spacing w:after="60" w:before="0" w:line="300"/>
            <w:jc w:val="right"/>
          </w:pPr>
          <w:r>
            <w:rPr>
              <w:rFonts w:ascii="Plus Jakarta Sans" w:cs="Plus Jakarta Sans" w:eastAsia="Plus Jakarta Sans" w:hAnsi="Plus Jakarta Sans"/>
              <w:b/>
              <w:bCs/>
              <w:i w:val="false"/>
              <w:iCs w:val="false"/>
              <w:color w:val="16181A"/>
              <w:spacing w:val="-3"/>
              <w:sz w:val="26"/>
              <w:szCs w:val="26"/>
            </w:rPr>
            <w:t xml:space="preserve">BauLynq</w:t>
          </w:r>
        </w:p>
        <w:p>
          <w:pPr>
            <w:spacing w:after="0" w:before="0" w:line="240"/>
            <w:jc w:val="right"/>
          </w:pPr>
          <w:r>
            <w:rPr>
              <w:rFonts w:ascii="Geist Mono" w:cs="Geist Mono" w:eastAsia="Geist Mono" w:hAnsi="Geist Mono"/>
              <w:b w:val="false"/>
              <w:bCs w:val="false"/>
              <w:caps/>
              <w:color w:val="8C9095"/>
              <w:spacing w:val="22"/>
              <w:sz w:val="15"/>
              <w:szCs w:val="15"/>
            </w:rPr>
            <w:t xml:space="preserve">DIE DEUTSCHE BAUSOFTWARE-SUITE</w:t>
          </w:r>
        </w:p>
      </w:tc>
    </w:tr>
  </w:tbl>
  <w:p>
    <w:pPr>
      <w:pBdr>
        <w:bottom w:val="single" w:color="E2E3E0" w:sz="6" w:space="1"/>
      </w:pBdr>
      <w:spacing w:after="0" w:before="160" w:line="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spacing w:after="80" w:before="0" w:line="300"/>
        <w:ind w:left="320" w:hanging="320"/>
      </w:pPr>
      <w:rPr>
        <w:rFonts w:ascii="Plus Jakarta Sans" w:cs="Plus Jakarta Sans" w:eastAsia="Plus Jakarta Sans" w:hAnsi="Plus Jakarta Sans"/>
        <w:color w:val="8C9095"/>
        <w:sz w:val="21"/>
        <w:szCs w:val="21"/>
      </w:rPr>
    </w:lvl>
    <w:lvl w:ilvl="1" w15:tentative="1">
      <w:start w:val="1"/>
      <w:numFmt w:val="bullet"/>
      <w:lvlText w:val="–"/>
      <w:lvlJc w:val="left"/>
      <w:pPr>
        <w:spacing w:after="80" w:before="0" w:line="300"/>
        <w:ind w:left="640" w:hanging="320"/>
      </w:pPr>
      <w:rPr>
        <w:rFonts w:ascii="Plus Jakarta Sans" w:cs="Plus Jakarta Sans" w:eastAsia="Plus Jakarta Sans" w:hAnsi="Plus Jakarta Sans"/>
        <w:color w:val="8C9095"/>
        <w:sz w:val="21"/>
        <w:szCs w:val="21"/>
      </w:rPr>
    </w:lvl>
  </w:abstractNum>
  <w:abstractNum w:abstractNumId="3" w15:restartNumberingAfterBreak="0">
    <w:multiLevelType w:val="hybridMultilevel"/>
    <w:lvl w:ilvl="0" w15:tentative="1">
      <w:start w:val="1"/>
      <w:numFmt w:val="decimal"/>
      <w:lvlText w:val="%1."/>
      <w:lvlJc w:val="left"/>
      <w:pPr>
        <w:spacing w:after="80" w:before="0" w:line="300"/>
        <w:ind w:left="400" w:hanging="400"/>
      </w:pPr>
      <w:rPr>
        <w:rFonts w:ascii="Geist Mono" w:cs="Geist Mono" w:eastAsia="Geist Mono" w:hAnsi="Geist Mono"/>
        <w:color w:val="53575B"/>
        <w:sz w:val="19"/>
        <w:szCs w:val="19"/>
      </w:r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updateFields/>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Plus Jakarta Sans" w:cs="Plus Jakarta Sans" w:eastAsia="Plus Jakarta Sans" w:hAnsi="Plus Jakarta Sans" w:asciiTheme="minorHAnsi" w:hAnsiTheme="minorHAnsi" w:eastAsiaTheme="minorHAnsi" w:cstheme="minorBidi"/>
        <w:color w:val="16181A"/>
        <w:sz w:val="21"/>
        <w:szCs w:val="21"/>
      </w:rPr>
    </w:rPrDefault>
    <w:pPrDefault>
      <w:pPr>
        <w:spacing w:after="160" w:before="0" w:line="300" w:lineRule="auto"/>
      </w:pPr>
    </w:pPrDefault>
  </w:docDefaults>
  <w:style w:type="paragraph" w:styleId="Title">
    <w:name w:val="Title"/>
    <w:basedOn w:val="Normal"/>
    <w:next w:val="Normal"/>
    <w:qFormat/>
    <w:pPr>
      <w:spacing w:after="160" w:before="0"/>
    </w:pPr>
    <w:rPr>
      <w:rFonts w:ascii="Plus Jakarta Sans ExtraBold" w:cs="Plus Jakarta Sans ExtraBold" w:eastAsia="Plus Jakarta Sans ExtraBold" w:hAnsi="Plus Jakarta Sans ExtraBold" w:asciiTheme="majorHAnsi" w:hAnsiTheme="majorHAnsi" w:eastAsiaTheme="majorHAnsi" w:cstheme="majorBidi"/>
      <w:color w:val="16181A"/>
      <w:spacing w:val="-20"/>
      <w:sz w:val="68"/>
      <w:szCs w:val="68"/>
    </w:rPr>
  </w:style>
  <w:style w:type="paragraph" w:styleId="Heading1">
    <w:name w:val="Heading 1"/>
    <w:basedOn w:val="Normal"/>
    <w:next w:val="Normal"/>
    <w:qFormat/>
    <w:pPr>
      <w:keepNext/>
      <w:pBdr>
        <w:bottom w:val="single" w:color="E2E3E0" w:sz="6" w:space="1"/>
      </w:pBdr>
      <w:spacing w:after="160" w:before="480" w:line="264"/>
      <w:outlineLvl w:val="0"/>
    </w:pPr>
    <w:rPr>
      <w:rFonts w:ascii="Plus Jakarta Sans ExtraBold" w:cs="Plus Jakarta Sans ExtraBold" w:eastAsia="Plus Jakarta Sans ExtraBold" w:hAnsi="Plus Jakarta Sans ExtraBold" w:asciiTheme="majorHAnsi" w:hAnsiTheme="majorHAnsi" w:eastAsiaTheme="majorHAnsi" w:cstheme="majorBidi"/>
      <w:b w:val="false"/>
      <w:bCs w:val="false"/>
      <w:color w:val="16181A"/>
      <w:spacing w:val="-11"/>
      <w:sz w:val="36"/>
      <w:szCs w:val="36"/>
    </w:rPr>
  </w:style>
  <w:style w:type="paragraph" w:styleId="Heading2">
    <w:name w:val="Heading 2"/>
    <w:basedOn w:val="Normal"/>
    <w:next w:val="Normal"/>
    <w:qFormat/>
    <w:pPr>
      <w:keepNext/>
      <w:spacing w:after="80" w:before="320" w:line="264"/>
      <w:outlineLvl w:val="1"/>
    </w:pPr>
    <w:rPr>
      <w:rFonts w:ascii="Plus Jakarta Sans SemiBold" w:cs="Plus Jakarta Sans SemiBold" w:eastAsia="Plus Jakarta Sans SemiBold" w:hAnsi="Plus Jakarta Sans SemiBold"/>
      <w:color w:val="16181A"/>
      <w:spacing w:val="-8"/>
      <w:sz w:val="26"/>
      <w:szCs w:val="26"/>
    </w:rPr>
  </w:style>
  <w:style w:type="paragraph" w:styleId="Heading3">
    <w:name w:val="Heading 3"/>
    <w:basedOn w:val="Normal"/>
    <w:next w:val="Normal"/>
    <w:qFormat/>
    <w:pPr>
      <w:keepNext/>
      <w:spacing w:after="80" w:before="240" w:line="264"/>
      <w:outlineLvl w:val="2"/>
    </w:pPr>
    <w:rPr>
      <w:rFonts w:ascii="Plus Jakarta Sans SemiBold" w:cs="Plus Jakarta Sans SemiBold" w:eastAsia="Plus Jakarta Sans SemiBold" w:hAnsi="Plus Jakarta Sans SemiBold"/>
      <w:color w:val="53575B"/>
      <w:spacing w:val="-5"/>
      <w:sz w:val="22"/>
      <w:szCs w:val="22"/>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pPr>
      <w:spacing w:after="80" w:before="0" w:line="300"/>
    </w:pPr>
    <w:rPr>
      <w:rFonts w:ascii="Plus Jakarta Sans" w:cs="Plus Jakarta Sans" w:eastAsia="Plus Jakarta Sans" w:hAnsi="Plus Jakarta Sans"/>
      <w:color w:val="16181A"/>
      <w:sz w:val="21"/>
      <w:szCs w:val="21"/>
    </w:rPr>
  </w:style>
  <w:style w:type="character" w:styleId="Hyperlink">
    <w:name w:val="Hyperlink"/>
    <w:basedOn w:val="DefaultParagraphFont"/>
    <w:uiPriority w:val="99"/>
    <w:unhideWhenUsed/>
    <w:rPr>
      <w:color w:val="8E2222"/>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BauLynqTitel">
    <w:name w:val="BauLynq Titel"/>
    <w:basedOn w:val="Normal"/>
    <w:next w:val="BauLynqFliesstext"/>
    <w:qFormat/>
    <w:pPr>
      <w:spacing w:after="80" w:before="0" w:line="920" w:lineRule="atLeast"/>
    </w:pPr>
    <w:rPr>
      <w:rFonts w:ascii="Plus Jakarta Sans ExtraBold" w:cs="Plus Jakarta Sans ExtraBold" w:eastAsia="Plus Jakarta Sans ExtraBold" w:hAnsi="Plus Jakarta Sans ExtraBold" w:asciiTheme="majorHAnsi" w:hAnsiTheme="majorHAnsi" w:eastAsiaTheme="majorHAnsi" w:cstheme="majorBidi"/>
      <w:color w:val="16181A"/>
      <w:spacing w:val="-24"/>
      <w:sz w:val="80"/>
      <w:szCs w:val="80"/>
    </w:rPr>
  </w:style>
  <w:style w:type="paragraph" w:styleId="BauLynqUeberschrift1">
    <w:name w:val="BauLynq Überschrift 1"/>
    <w:basedOn w:val="Heading1"/>
    <w:next w:val="BauLynqFliesstext"/>
    <w:qFormat/>
    <w:pPr>
      <w:keepNext/>
      <w:pBdr>
        <w:bottom w:val="single" w:color="E2E3E0" w:sz="6" w:space="1"/>
      </w:pBdr>
      <w:spacing w:after="160" w:before="480" w:line="264"/>
      <w:outlineLvl w:val="0"/>
    </w:pPr>
    <w:rPr>
      <w:rFonts w:ascii="Plus Jakarta Sans ExtraBold" w:cs="Plus Jakarta Sans ExtraBold" w:eastAsia="Plus Jakarta Sans ExtraBold" w:hAnsi="Plus Jakarta Sans ExtraBold" w:asciiTheme="majorHAnsi" w:hAnsiTheme="majorHAnsi" w:eastAsiaTheme="majorHAnsi" w:cstheme="majorBidi"/>
      <w:b w:val="false"/>
      <w:bCs w:val="false"/>
      <w:color w:val="16181A"/>
      <w:spacing w:val="-11"/>
      <w:sz w:val="36"/>
      <w:szCs w:val="36"/>
    </w:rPr>
  </w:style>
  <w:style w:type="paragraph" w:styleId="BauLynqUeberschrift2">
    <w:name w:val="BauLynq Überschrift 2"/>
    <w:basedOn w:val="Heading2"/>
    <w:next w:val="BauLynqFliesstext"/>
    <w:qFormat/>
    <w:pPr>
      <w:keepNext/>
      <w:spacing w:after="80" w:before="320" w:line="264"/>
      <w:outlineLvl w:val="1"/>
    </w:pPr>
    <w:rPr>
      <w:rFonts w:ascii="Plus Jakarta Sans SemiBold" w:cs="Plus Jakarta Sans SemiBold" w:eastAsia="Plus Jakarta Sans SemiBold" w:hAnsi="Plus Jakarta Sans SemiBold"/>
      <w:color w:val="16181A"/>
      <w:spacing w:val="-8"/>
      <w:sz w:val="26"/>
      <w:szCs w:val="26"/>
    </w:rPr>
  </w:style>
  <w:style w:type="paragraph" w:styleId="BauLynqUeberschrift3">
    <w:name w:val="BauLynq Überschrift 3"/>
    <w:basedOn w:val="Heading3"/>
    <w:next w:val="BauLynqFliesstext"/>
    <w:qFormat/>
    <w:pPr>
      <w:keepNext/>
      <w:spacing w:after="80" w:before="240" w:line="264"/>
      <w:outlineLvl w:val="2"/>
    </w:pPr>
    <w:rPr>
      <w:rFonts w:ascii="Plus Jakarta Sans SemiBold" w:cs="Plus Jakarta Sans SemiBold" w:eastAsia="Plus Jakarta Sans SemiBold" w:hAnsi="Plus Jakarta Sans SemiBold"/>
      <w:color w:val="53575B"/>
      <w:spacing w:val="-5"/>
      <w:sz w:val="22"/>
      <w:szCs w:val="22"/>
    </w:rPr>
  </w:style>
  <w:style w:type="paragraph" w:styleId="BauLynqFliesstext">
    <w:name w:val="BauLynq Fließtext"/>
    <w:basedOn w:val="Normal"/>
    <w:next w:val="BauLynqFliesstext"/>
    <w:qFormat/>
    <w:pPr>
      <w:spacing w:after="160" w:before="0" w:line="300"/>
      <w:jc w:val="left"/>
    </w:pPr>
    <w:rPr>
      <w:rFonts w:ascii="Plus Jakarta Sans" w:cs="Plus Jakarta Sans" w:eastAsia="Plus Jakarta Sans" w:hAnsi="Plus Jakarta Sans"/>
      <w:color w:val="16181A"/>
      <w:sz w:val="21"/>
      <w:szCs w:val="21"/>
    </w:rPr>
  </w:style>
  <w:style w:type="paragraph" w:styleId="BauLynqKicker">
    <w:name w:val="BauLynq Kicker"/>
    <w:basedOn w:val="Normal"/>
    <w:next w:val="BauLynqFliesstext"/>
    <w:qFormat/>
    <w:pPr>
      <w:spacing w:after="80" w:before="0" w:line="240"/>
    </w:pPr>
    <w:rPr>
      <w:rFonts w:ascii="Geist Mono" w:cs="Geist Mono" w:eastAsia="Geist Mono" w:hAnsi="Geist Mono"/>
      <w:caps/>
      <w:color w:val="8C9095"/>
      <w:spacing w:val="16"/>
      <w:sz w:val="15"/>
      <w:szCs w:val="15"/>
    </w:rPr>
  </w:style>
  <w:style w:type="paragraph" w:styleId="BauLynqDatenzelle">
    <w:name w:val="BauLynq Datenzelle"/>
    <w:basedOn w:val="Normal"/>
    <w:next w:val="BauLynqDatenzelle"/>
    <w:qFormat/>
    <w:pPr>
      <w:spacing w:after="40" w:before="40" w:line="240"/>
      <w:jc w:val="right"/>
    </w:pPr>
    <w:rPr>
      <w:rFonts w:ascii="Geist Mono" w:cs="Geist Mono" w:eastAsia="Geist Mono" w:hAnsi="Geist Mono"/>
      <w:color w:val="16181A"/>
      <w:sz w:val="18"/>
      <w:szCs w:val="18"/>
    </w:rPr>
  </w:style>
  <w:style w:type="paragraph" w:styleId="BauLynqFussnote">
    <w:name w:val="BauLynq Fußnote"/>
    <w:basedOn w:val="Normal"/>
    <w:next w:val="BauLynqFussnote"/>
    <w:qFormat/>
    <w:pPr>
      <w:spacing w:after="0" w:before="0" w:line="220"/>
    </w:pPr>
    <w:rPr>
      <w:rFonts w:ascii="Geist Mono" w:cs="Geist Mono" w:eastAsia="Geist Mono" w:hAnsi="Geist Mono"/>
      <w:color w:val="8C9095"/>
      <w:sz w:val="15"/>
      <w:szCs w:val="15"/>
    </w:rPr>
  </w:style>
  <w:style w:type="paragraph" w:styleId="TOC1">
    <w:name w:val="toc 1"/>
    <w:basedOn w:val="Normal"/>
    <w:next w:val="Normal"/>
    <w:pPr>
      <w:tabs>
        <w:tab w:val="right" w:pos="9412" w:leader="dot"/>
      </w:tabs>
      <w:spacing w:after="0" w:before="160" w:line="260"/>
    </w:pPr>
    <w:rPr>
      <w:rFonts w:ascii="Plus Jakarta Sans SemiBold" w:cs="Plus Jakarta Sans SemiBold" w:eastAsia="Plus Jakarta Sans SemiBold" w:hAnsi="Plus Jakarta Sans SemiBold"/>
      <w:color w:val="16181A"/>
      <w:sz w:val="20"/>
      <w:szCs w:val="20"/>
    </w:rPr>
  </w:style>
  <w:style w:type="paragraph" w:styleId="TOC2">
    <w:name w:val="toc 2"/>
    <w:basedOn w:val="Normal"/>
    <w:next w:val="Normal"/>
    <w:pPr>
      <w:tabs>
        <w:tab w:val="right" w:pos="9412" w:leader="dot"/>
      </w:tabs>
      <w:spacing w:after="0" w:before="40" w:line="260"/>
      <w:ind w:left="280"/>
    </w:pPr>
    <w:rPr>
      <w:rFonts w:ascii="Plus Jakarta Sans" w:cs="Plus Jakarta Sans" w:eastAsia="Plus Jakarta Sans" w:hAnsi="Plus Jakarta Sans"/>
      <w:color w:val="53575B"/>
      <w:sz w:val="20"/>
      <w:szCs w:val="20"/>
    </w:rPr>
  </w:style>
  <w:style w:type="paragraph" w:styleId="TOC3">
    <w:name w:val="toc 3"/>
    <w:basedOn w:val="Normal"/>
    <w:next w:val="Normal"/>
    <w:pPr>
      <w:tabs>
        <w:tab w:val="right" w:pos="9412" w:leader="dot"/>
      </w:tabs>
      <w:spacing w:after="0" w:before="40" w:line="260"/>
      <w:ind w:left="560"/>
    </w:pPr>
    <w:rPr>
      <w:rFonts w:ascii="Plus Jakarta Sans" w:cs="Plus Jakarta Sans" w:eastAsia="Plus Jakarta Sans" w:hAnsi="Plus Jakarta Sans"/>
      <w:color w:val="53575B"/>
      <w:sz w:val="19"/>
      <w:szCs w:val="19"/>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 Id="rIdBauLynqTheme" Type="http://schemas.openxmlformats.org/officeDocument/2006/relationships/theme" Target="theme/theme1.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baulynq-mark-ink.png"/></Relationships>
</file>

<file path=word/theme/theme1.xml><?xml version="1.0" encoding="utf-8"?>
<a:theme xmlns:a="http://schemas.openxmlformats.org/drawingml/2006/main" name="BauLynq">
  <a:themeElements>
    <a:clrScheme name="BauLynq">
      <a:dk1>
        <a:srgbClr val="16181A"/>
      </a:dk1>
      <a:lt1>
        <a:srgbClr val="FFFFFF"/>
      </a:lt1>
      <a:dk2>
        <a:srgbClr val="0B0D10"/>
      </a:dk2>
      <a:lt2>
        <a:srgbClr val="F4F4F1"/>
      </a:lt2>
      <a:accent1>
        <a:srgbClr val="8E2222"/>
      </a:accent1>
      <a:accent2>
        <a:srgbClr val="A09BFF"/>
      </a:accent2>
      <a:accent3>
        <a:srgbClr val="007A4B"/>
      </a:accent3>
      <a:accent4>
        <a:srgbClr val="60A6FF"/>
      </a:accent4>
      <a:accent5>
        <a:srgbClr val="9B6000"/>
      </a:accent5>
      <a:accent6>
        <a:srgbClr val="DE75B4"/>
      </a:accent6>
      <a:hlink>
        <a:srgbClr val="8E2222"/>
      </a:hlink>
      <a:folHlink>
        <a:srgbClr val="6B1112"/>
      </a:folHlink>
    </a:clrScheme>
    <a:fontScheme name="BauLynq">
      <a:majorFont>
        <a:latin typeface="Plus Jakarta Sans ExtraBold"/>
        <a:ea typeface=""/>
        <a:cs typeface=""/>
      </a:majorFont>
      <a:minorFont>
        <a:latin typeface="Plus Jakarta Sans"/>
        <a:ea typeface=""/>
        <a:cs typeface=""/>
      </a:minorFont>
    </a:fontScheme>
    <a:fmtScheme name="BauLynq">
      <a:fillStyleLst>
        <a:solidFill>
          <a:schemeClr val="phClr"/>
        </a:solidFill>
        <a:solidFill>
          <a:schemeClr val="phClr"/>
        </a:solidFill>
        <a:solidFill>
          <a:schemeClr val="phClr"/>
        </a:solidFill>
      </a:fillStyleLst>
      <a:lnStyleLst>
        <a:ln w="6350" cap="flat" cmpd="sng" algn="ctr">
          <a:solidFill>
            <a:schemeClr val="phClr"/>
          </a:solidFill>
          <a:prstDash val="solid"/>
        </a:ln>
        <a:ln w="9525" cap="flat" cmpd="sng" algn="ctr">
          <a:solidFill>
            <a:schemeClr val="phClr"/>
          </a:solidFill>
          <a:prstDash val="solid"/>
        </a:ln>
        <a:ln w="127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BauLynq — Briefbogen</dc:title>
  <dc:creator>BauLynq GmbH</dc:creator>
  <dc:description>Geschäftsbrief-Vorlage nach DIN 5008</dc:description>
  <cp:lastModifiedBy>Un-named</cp:lastModifiedBy>
  <cp:revision>1</cp:revision>
  <dcterms:created xsi:type="dcterms:W3CDTF">2026-07-29T08:07:28.953Z</dcterms:created>
  <dcterms:modified xsi:type="dcterms:W3CDTF">2026-07-29T08:07:28.953Z</dcterms:modified>
</cp:coreProperties>
</file>

<file path=docProps/custom.xml><?xml version="1.0" encoding="utf-8"?>
<Properties xmlns="http://schemas.openxmlformats.org/officeDocument/2006/custom-properties" xmlns:vt="http://schemas.openxmlformats.org/officeDocument/2006/docPropsVTypes"/>
</file>