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3400"/>
        <w:jc w:val="center"/>
      </w:pPr>
      <w:r>
        <w:rPr>
          <w:rFonts w:ascii="Arial" w:cs="Arial" w:eastAsia="Arial" w:hAnsi="Arial"/>
          <w:b/>
          <w:bCs/>
          <w:color w:val="8E2222"/>
          <w:sz w:val="96"/>
          <w:szCs w:val="96"/>
        </w:rPr>
        <w:t xml:space="preserve">BauLynq</w:t>
      </w:r>
    </w:p>
    <w:p>
      <w:pPr>
        <w:spacing w:after="120"/>
        <w:jc w:val="center"/>
      </w:pPr>
      <w:r>
        <w:rPr>
          <w:rFonts w:ascii="Arial" w:cs="Arial" w:eastAsia="Arial" w:hAnsi="Arial"/>
          <w:color w:val="5A5A5A"/>
          <w:sz w:val="28"/>
          <w:szCs w:val="28"/>
        </w:rPr>
        <w:t xml:space="preserve">Ein Bauprojekt. Ein durchgängiger Datensatz.</w:t>
      </w:r>
    </w:p>
    <w:p>
      <w:pPr>
        <w:spacing w:after="700"/>
        <w:jc w:val="center"/>
      </w:pPr>
      <w:r>
        <w:rPr>
          <w:rFonts w:ascii="Arial" w:cs="Arial" w:eastAsia="Arial" w:hAnsi="Arial"/>
          <w:i/>
          <w:iCs/>
          <w:color w:val="9A9A9A"/>
          <w:sz w:val="19"/>
          <w:szCs w:val="19"/>
        </w:rPr>
        <w:t xml:space="preserve">Die Plattform, die den Bau verbindet — aus Deutschland, für deutsches Baurecht.</w:t>
      </w:r>
    </w:p>
    <w:p>
      <w:pPr>
        <w:spacing w:after="120"/>
        <w:jc w:val="center"/>
      </w:pPr>
      <w:r>
        <w:rPr>
          <w:rFonts w:ascii="Arial" w:cs="Arial" w:eastAsia="Arial" w:hAnsi="Arial"/>
          <w:b/>
          <w:bCs/>
          <w:color w:val="141414"/>
          <w:sz w:val="32"/>
          <w:szCs w:val="32"/>
        </w:rPr>
        <w:t xml:space="preserve">Geschäftsplan — Ausgabe für Investoren</w:t>
      </w:r>
    </w:p>
    <w:p>
      <w:pPr>
        <w:spacing w:after="2400"/>
        <w:jc w:val="center"/>
      </w:pPr>
      <w:r>
        <w:rPr>
          <w:rFonts w:ascii="Courier New" w:cs="Courier New" w:eastAsia="Courier New" w:hAnsi="Courier New"/>
          <w:color w:val="5A5A5A"/>
          <w:sz w:val="20"/>
          <w:szCs w:val="20"/>
        </w:rPr>
        <w:t xml:space="preserve">Juli 2026</w:t>
      </w:r>
    </w:p>
    <w:p>
      <w:pPr>
        <w:spacing w:after="160"/>
        <w:jc w:val="center"/>
      </w:pPr>
      <w:r>
        <w:rPr>
          <w:rFonts w:ascii="Courier New" w:cs="Courier New" w:eastAsia="Courier New" w:hAnsi="Courier New"/>
          <w:color w:val="141414"/>
          <w:sz w:val="16"/>
          <w:szCs w:val="16"/>
        </w:rPr>
        <w:t xml:space="preserve">info@baulynq.com · +49 1525 4966510 · www.baulynq.com · app.baulynq.com</w:t>
      </w:r>
    </w:p>
    <w:p>
      <w:pPr>
        <w:jc w:val="center"/>
      </w:pPr>
      <w:r>
        <w:rPr>
          <w:rFonts w:ascii="Arial" w:cs="Arial" w:eastAsia="Arial" w:hAnsi="Arial"/>
          <w:i/>
          <w:iCs/>
          <w:color w:val="9A9A9A"/>
          <w:sz w:val="14"/>
          <w:szCs w:val="14"/>
        </w:rPr>
        <w:t xml:space="preserve">Vertraulich. Sofern nicht anders ausgewiesen, sind Preise, Ziele und Prognosen Planungsstand Juli 2026 (Entwurf) und werden mit der Pilotkohorte im zweiten Halbjahr 2026 validiert. Alle Beträge netto (zzgl. USt.). Dieser Hinweis gilt für das gesamte Dokument.</w:t>
      </w:r>
    </w:p>
    <w:p>
      <w:r>
        <w:br w:type="page"/>
      </w:r>
    </w:p>
    <w:p>
      <w:pPr>
        <w:spacing w:after="60"/>
      </w:pPr>
      <w:r>
        <w:rPr>
          <w:rFonts w:ascii="Courier New" w:cs="Courier New" w:eastAsia="Courier New" w:hAnsi="Courier New"/>
          <w:color w:val="C9554D"/>
          <w:sz w:val="16"/>
          <w:szCs w:val="16"/>
        </w:rPr>
        <w:t xml:space="preserve">INHALT</w:t>
      </w:r>
    </w:p>
    <w:p>
      <w:pPr>
        <w:pBdr>
          <w:bottom w:val="single" w:color="8E2222" w:sz="8"/>
        </w:pBdr>
        <w:spacing w:after="200"/>
      </w:pPr>
      <w:r>
        <w:rPr>
          <w:rFonts w:ascii="Arial" w:cs="Arial" w:eastAsia="Arial" w:hAnsi="Arial"/>
          <w:b/>
          <w:bCs/>
          <w:color w:val="141414"/>
          <w:sz w:val="36"/>
          <w:szCs w:val="36"/>
        </w:rPr>
        <w:t xml:space="preserve">Inhalt</w:t>
      </w:r>
    </w:p>
    <w:p>
      <w:pPr>
        <w:spacing w:after="130"/>
      </w:pPr>
      <w:r>
        <w:rPr>
          <w:rFonts w:ascii="Courier New" w:cs="Courier New" w:eastAsia="Courier New" w:hAnsi="Courier New"/>
          <w:color w:val="C9554D"/>
          <w:sz w:val="18"/>
          <w:szCs w:val="18"/>
        </w:rPr>
        <w:t xml:space="preserve">01   </w:t>
      </w:r>
      <w:r>
        <w:rPr>
          <w:rFonts w:ascii="Arial" w:cs="Arial" w:eastAsia="Arial" w:hAnsi="Arial"/>
          <w:color w:val="141414"/>
          <w:sz w:val="20"/>
          <w:szCs w:val="20"/>
        </w:rPr>
        <w:t xml:space="preserve">Zusammenfassung</w:t>
      </w:r>
    </w:p>
    <w:p>
      <w:pPr>
        <w:spacing w:after="130"/>
      </w:pPr>
      <w:r>
        <w:rPr>
          <w:rFonts w:ascii="Courier New" w:cs="Courier New" w:eastAsia="Courier New" w:hAnsi="Courier New"/>
          <w:color w:val="C9554D"/>
          <w:sz w:val="18"/>
          <w:szCs w:val="18"/>
        </w:rPr>
        <w:t xml:space="preserve">02   </w:t>
      </w:r>
      <w:r>
        <w:rPr>
          <w:rFonts w:ascii="Arial" w:cs="Arial" w:eastAsia="Arial" w:hAnsi="Arial"/>
          <w:color w:val="141414"/>
          <w:sz w:val="20"/>
          <w:szCs w:val="20"/>
        </w:rPr>
        <w:t xml:space="preserve">Was bereits gebaut ist</w:t>
      </w:r>
    </w:p>
    <w:p>
      <w:pPr>
        <w:spacing w:after="130"/>
      </w:pPr>
      <w:r>
        <w:rPr>
          <w:rFonts w:ascii="Courier New" w:cs="Courier New" w:eastAsia="Courier New" w:hAnsi="Courier New"/>
          <w:color w:val="C9554D"/>
          <w:sz w:val="18"/>
          <w:szCs w:val="18"/>
        </w:rPr>
        <w:t xml:space="preserve">03   </w:t>
      </w:r>
      <w:r>
        <w:rPr>
          <w:rFonts w:ascii="Arial" w:cs="Arial" w:eastAsia="Arial" w:hAnsi="Arial"/>
          <w:color w:val="141414"/>
          <w:sz w:val="20"/>
          <w:szCs w:val="20"/>
        </w:rPr>
        <w:t xml:space="preserve">Das Problem</w:t>
      </w:r>
    </w:p>
    <w:p>
      <w:pPr>
        <w:spacing w:after="130"/>
      </w:pPr>
      <w:r>
        <w:rPr>
          <w:rFonts w:ascii="Courier New" w:cs="Courier New" w:eastAsia="Courier New" w:hAnsi="Courier New"/>
          <w:color w:val="C9554D"/>
          <w:sz w:val="18"/>
          <w:szCs w:val="18"/>
        </w:rPr>
        <w:t xml:space="preserve">04   </w:t>
      </w:r>
      <w:r>
        <w:rPr>
          <w:rFonts w:ascii="Arial" w:cs="Arial" w:eastAsia="Arial" w:hAnsi="Arial"/>
          <w:color w:val="141414"/>
          <w:sz w:val="20"/>
          <w:szCs w:val="20"/>
        </w:rPr>
        <w:t xml:space="preserve">Markt &amp; Zeitfenster</w:t>
      </w:r>
    </w:p>
    <w:p>
      <w:pPr>
        <w:spacing w:after="130"/>
      </w:pPr>
      <w:r>
        <w:rPr>
          <w:rFonts w:ascii="Courier New" w:cs="Courier New" w:eastAsia="Courier New" w:hAnsi="Courier New"/>
          <w:color w:val="C9554D"/>
          <w:sz w:val="18"/>
          <w:szCs w:val="18"/>
        </w:rPr>
        <w:t xml:space="preserve">05   </w:t>
      </w:r>
      <w:r>
        <w:rPr>
          <w:rFonts w:ascii="Arial" w:cs="Arial" w:eastAsia="Arial" w:hAnsi="Arial"/>
          <w:color w:val="141414"/>
          <w:sz w:val="20"/>
          <w:szCs w:val="20"/>
        </w:rPr>
        <w:t xml:space="preserve">Lösung &amp; Produkt — ein durchgängiger Datensatz</w:t>
      </w:r>
    </w:p>
    <w:p>
      <w:pPr>
        <w:spacing w:after="130"/>
      </w:pPr>
      <w:r>
        <w:rPr>
          <w:rFonts w:ascii="Courier New" w:cs="Courier New" w:eastAsia="Courier New" w:hAnsi="Courier New"/>
          <w:color w:val="C9554D"/>
          <w:sz w:val="18"/>
          <w:szCs w:val="18"/>
        </w:rPr>
        <w:t xml:space="preserve">06   </w:t>
      </w:r>
      <w:r>
        <w:rPr>
          <w:rFonts w:ascii="Arial" w:cs="Arial" w:eastAsia="Arial" w:hAnsi="Arial"/>
          <w:color w:val="141414"/>
          <w:sz w:val="20"/>
          <w:szCs w:val="20"/>
        </w:rPr>
        <w:t xml:space="preserve">Wettbewerb</w:t>
      </w:r>
    </w:p>
    <w:p>
      <w:pPr>
        <w:spacing w:after="130"/>
      </w:pPr>
      <w:r>
        <w:rPr>
          <w:rFonts w:ascii="Courier New" w:cs="Courier New" w:eastAsia="Courier New" w:hAnsi="Courier New"/>
          <w:color w:val="C9554D"/>
          <w:sz w:val="18"/>
          <w:szCs w:val="18"/>
        </w:rPr>
        <w:t xml:space="preserve">07   </w:t>
      </w:r>
      <w:r>
        <w:rPr>
          <w:rFonts w:ascii="Arial" w:cs="Arial" w:eastAsia="Arial" w:hAnsi="Arial"/>
          <w:color w:val="141414"/>
          <w:sz w:val="20"/>
          <w:szCs w:val="20"/>
        </w:rPr>
        <w:t xml:space="preserve">Vertrieb &amp; Pilotphase</w:t>
      </w:r>
    </w:p>
    <w:p>
      <w:pPr>
        <w:spacing w:after="130"/>
      </w:pPr>
      <w:r>
        <w:rPr>
          <w:rFonts w:ascii="Courier New" w:cs="Courier New" w:eastAsia="Courier New" w:hAnsi="Courier New"/>
          <w:color w:val="C9554D"/>
          <w:sz w:val="18"/>
          <w:szCs w:val="18"/>
        </w:rPr>
        <w:t xml:space="preserve">08   </w:t>
      </w:r>
      <w:r>
        <w:rPr>
          <w:rFonts w:ascii="Arial" w:cs="Arial" w:eastAsia="Arial" w:hAnsi="Arial"/>
          <w:color w:val="141414"/>
          <w:sz w:val="20"/>
          <w:szCs w:val="20"/>
        </w:rPr>
        <w:t xml:space="preserve">Geschäftsmodell &amp; Preise</w:t>
      </w:r>
    </w:p>
    <w:p>
      <w:pPr>
        <w:spacing w:after="130"/>
      </w:pPr>
      <w:r>
        <w:rPr>
          <w:rFonts w:ascii="Courier New" w:cs="Courier New" w:eastAsia="Courier New" w:hAnsi="Courier New"/>
          <w:color w:val="C9554D"/>
          <w:sz w:val="18"/>
          <w:szCs w:val="18"/>
        </w:rPr>
        <w:t xml:space="preserve">09   </w:t>
      </w:r>
      <w:r>
        <w:rPr>
          <w:rFonts w:ascii="Arial" w:cs="Arial" w:eastAsia="Arial" w:hAnsi="Arial"/>
          <w:color w:val="141414"/>
          <w:sz w:val="20"/>
          <w:szCs w:val="20"/>
        </w:rPr>
        <w:t xml:space="preserve">Finanzplan</w:t>
      </w:r>
    </w:p>
    <w:p>
      <w:pPr>
        <w:spacing w:after="130"/>
      </w:pPr>
      <w:r>
        <w:rPr>
          <w:rFonts w:ascii="Courier New" w:cs="Courier New" w:eastAsia="Courier New" w:hAnsi="Courier New"/>
          <w:color w:val="C9554D"/>
          <w:sz w:val="18"/>
          <w:szCs w:val="18"/>
        </w:rPr>
        <w:t xml:space="preserve">10   </w:t>
      </w:r>
      <w:r>
        <w:rPr>
          <w:rFonts w:ascii="Arial" w:cs="Arial" w:eastAsia="Arial" w:hAnsi="Arial"/>
          <w:color w:val="141414"/>
          <w:sz w:val="20"/>
          <w:szCs w:val="20"/>
        </w:rPr>
        <w:t xml:space="preserve">Team &amp; Einstellungsplan</w:t>
      </w:r>
    </w:p>
    <w:p>
      <w:pPr>
        <w:spacing w:after="130"/>
      </w:pPr>
      <w:r>
        <w:rPr>
          <w:rFonts w:ascii="Courier New" w:cs="Courier New" w:eastAsia="Courier New" w:hAnsi="Courier New"/>
          <w:color w:val="C9554D"/>
          <w:sz w:val="18"/>
          <w:szCs w:val="18"/>
        </w:rPr>
        <w:t xml:space="preserve">11   </w:t>
      </w:r>
      <w:r>
        <w:rPr>
          <w:rFonts w:ascii="Arial" w:cs="Arial" w:eastAsia="Arial" w:hAnsi="Arial"/>
          <w:color w:val="141414"/>
          <w:sz w:val="20"/>
          <w:szCs w:val="20"/>
        </w:rPr>
        <w:t xml:space="preserve">Finanzierungsbedarf &amp; Mittelverwendung</w:t>
      </w:r>
    </w:p>
    <w:p>
      <w:pPr>
        <w:spacing w:after="130"/>
      </w:pPr>
      <w:r>
        <w:rPr>
          <w:rFonts w:ascii="Courier New" w:cs="Courier New" w:eastAsia="Courier New" w:hAnsi="Courier New"/>
          <w:color w:val="C9554D"/>
          <w:sz w:val="18"/>
          <w:szCs w:val="18"/>
        </w:rPr>
        <w:t xml:space="preserve">12   </w:t>
      </w:r>
      <w:r>
        <w:rPr>
          <w:rFonts w:ascii="Arial" w:cs="Arial" w:eastAsia="Arial" w:hAnsi="Arial"/>
          <w:color w:val="141414"/>
          <w:sz w:val="20"/>
          <w:szCs w:val="20"/>
        </w:rPr>
        <w:t xml:space="preserve">Risiken &amp; Gegenmaßnahmen</w:t>
      </w:r>
    </w:p>
    <w:p>
      <w:pPr>
        <w:spacing w:after="130"/>
      </w:pPr>
      <w:r>
        <w:rPr>
          <w:rFonts w:ascii="Courier New" w:cs="Courier New" w:eastAsia="Courier New" w:hAnsi="Courier New"/>
          <w:color w:val="C9554D"/>
          <w:sz w:val="18"/>
          <w:szCs w:val="18"/>
        </w:rPr>
        <w:t xml:space="preserve">13   </w:t>
      </w:r>
      <w:r>
        <w:rPr>
          <w:rFonts w:ascii="Arial" w:cs="Arial" w:eastAsia="Arial" w:hAnsi="Arial"/>
          <w:color w:val="141414"/>
          <w:sz w:val="20"/>
          <w:szCs w:val="20"/>
        </w:rPr>
        <w:t xml:space="preserve">Exit-Perspektive</w:t>
      </w:r>
    </w:p>
    <w:p>
      <w:pPr>
        <w:spacing w:after="130"/>
      </w:pPr>
      <w:r>
        <w:rPr>
          <w:rFonts w:ascii="Courier New" w:cs="Courier New" w:eastAsia="Courier New" w:hAnsi="Courier New"/>
          <w:color w:val="C9554D"/>
          <w:sz w:val="18"/>
          <w:szCs w:val="18"/>
        </w:rPr>
        <w:t xml:space="preserve">14   </w:t>
      </w:r>
      <w:r>
        <w:rPr>
          <w:rFonts w:ascii="Arial" w:cs="Arial" w:eastAsia="Arial" w:hAnsi="Arial"/>
          <w:color w:val="141414"/>
          <w:sz w:val="20"/>
          <w:szCs w:val="20"/>
        </w:rPr>
        <w:t xml:space="preserve">Daten, Sicherheit &amp; Reporting</w:t>
      </w:r>
    </w:p>
    <w:p>
      <w:pPr>
        <w:spacing w:after="130"/>
      </w:pPr>
      <w:r>
        <w:rPr>
          <w:rFonts w:ascii="Courier New" w:cs="Courier New" w:eastAsia="Courier New" w:hAnsi="Courier New"/>
          <w:color w:val="C9554D"/>
          <w:sz w:val="18"/>
          <w:szCs w:val="18"/>
        </w:rPr>
        <w:t xml:space="preserve">15   </w:t>
      </w:r>
      <w:r>
        <w:rPr>
          <w:rFonts w:ascii="Arial" w:cs="Arial" w:eastAsia="Arial" w:hAnsi="Arial"/>
          <w:color w:val="141414"/>
          <w:sz w:val="20"/>
          <w:szCs w:val="20"/>
        </w:rPr>
        <w:t xml:space="preserve">Anhang — Quellen &amp; Verifikation</w:t>
      </w:r>
    </w:p>
    <w:p>
      <w:r>
        <w:br w:type="page"/>
      </w:r>
    </w:p>
    <w:p>
      <w:pPr>
        <w:spacing w:after="70" w:before="420"/>
      </w:pPr>
      <w:r>
        <w:rPr>
          <w:rFonts w:ascii="Courier New" w:cs="Courier New" w:eastAsia="Courier New" w:hAnsi="Courier New"/>
          <w:color w:val="C9554D"/>
          <w:sz w:val="16"/>
          <w:szCs w:val="16"/>
        </w:rPr>
        <w:t xml:space="preserve">ABSCHNITT 01</w:t>
      </w:r>
    </w:p>
    <w:p>
      <w:pPr>
        <w:pStyle w:val="Heading1"/>
        <w:spacing w:after="90"/>
      </w:pPr>
      <w:r>
        <w:rPr>
          <w:rFonts w:ascii="Arial" w:cs="Arial" w:eastAsia="Arial" w:hAnsi="Arial"/>
          <w:b/>
          <w:bCs/>
          <w:color w:val="141414"/>
          <w:sz w:val="36"/>
          <w:szCs w:val="36"/>
        </w:rPr>
        <w:t xml:space="preserve">Zusammenfassung</w:t>
      </w:r>
    </w:p>
    <w:p>
      <w:pPr>
        <w:pBdr>
          <w:bottom w:val="single" w:color="8E2222" w:sz="8"/>
        </w:pBdr>
        <w:spacing w:after="230"/>
      </w:pPr>
      <w:r>
        <w:rPr>
          <w:rFonts w:ascii="Arial" w:cs="Arial" w:eastAsia="Arial" w:hAnsi="Arial"/>
          <w:i/>
          <w:iCs/>
          <w:color w:val="5A5A5A"/>
          <w:sz w:val="20"/>
          <w:szCs w:val="20"/>
        </w:rPr>
        <w:t xml:space="preserve">Das Produkt ist fertig und live — diese Finanzierung kauft Vertrieb, nicht Produktentwicklung.</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1928"/>
        <w:gridCol w:w="1928"/>
        <w:gridCol w:w="1928"/>
        <w:gridCol w:w="1928"/>
        <w:gridCol w:w="1928"/>
      </w:tblGrid>
      <w:tr>
        <w:tc>
          <w:tcPr>
            <w:tcW w:type="dxa" w:w="1928"/>
            <w:tcBorders>
              <w:top w:val="single" w:color="8E2222" w:sz="10"/>
              <w:left w:val="none" w:color="FFFFFF" w:sz="0"/>
              <w:bottom w:val="none" w:color="FFFFFF" w:sz="0"/>
              <w:right w:val="none" w:color="FFFFFF" w:sz="0"/>
            </w:tcBorders>
            <w:shd w:fill="F8F1F1" w:val="clear"/>
            <w:tcMar>
              <w:top w:type="dxa" w:w="90"/>
              <w:left w:type="dxa" w:w="110"/>
              <w:bottom w:type="dxa" w:w="90"/>
              <w:right w:type="dxa" w:w="110"/>
            </w:tcMar>
          </w:tcPr>
          <w:p>
            <w:pPr>
              <w:jc w:val="center"/>
            </w:pPr>
            <w:r>
              <w:rPr>
                <w:rFonts w:ascii="Arial" w:cs="Arial" w:eastAsia="Arial" w:hAnsi="Arial"/>
                <w:b/>
                <w:bCs/>
                <w:color w:val="8E2222"/>
                <w:sz w:val="33"/>
                <w:szCs w:val="33"/>
              </w:rPr>
              <w:t xml:space="preserve">10+1</w:t>
            </w:r>
          </w:p>
        </w:tc>
        <w:tc>
          <w:tcPr>
            <w:tcW w:type="dxa" w:w="1928"/>
            <w:tcBorders>
              <w:top w:val="single" w:color="8E2222" w:sz="10"/>
              <w:left w:val="none" w:color="FFFFFF" w:sz="0"/>
              <w:bottom w:val="none" w:color="FFFFFF" w:sz="0"/>
              <w:right w:val="none" w:color="FFFFFF" w:sz="0"/>
            </w:tcBorders>
            <w:shd w:fill="F8F1F1" w:val="clear"/>
            <w:tcMar>
              <w:top w:type="dxa" w:w="90"/>
              <w:left w:type="dxa" w:w="110"/>
              <w:bottom w:type="dxa" w:w="90"/>
              <w:right w:type="dxa" w:w="110"/>
            </w:tcMar>
          </w:tcPr>
          <w:p>
            <w:pPr>
              <w:jc w:val="center"/>
            </w:pPr>
            <w:r>
              <w:rPr>
                <w:rFonts w:ascii="Arial" w:cs="Arial" w:eastAsia="Arial" w:hAnsi="Arial"/>
                <w:b/>
                <w:bCs/>
                <w:color w:val="8E2222"/>
                <w:sz w:val="33"/>
                <w:szCs w:val="33"/>
              </w:rPr>
              <w:t xml:space="preserve">1.465</w:t>
            </w:r>
          </w:p>
        </w:tc>
        <w:tc>
          <w:tcPr>
            <w:tcW w:type="dxa" w:w="1928"/>
            <w:tcBorders>
              <w:top w:val="single" w:color="8E2222" w:sz="10"/>
              <w:left w:val="none" w:color="FFFFFF" w:sz="0"/>
              <w:bottom w:val="none" w:color="FFFFFF" w:sz="0"/>
              <w:right w:val="none" w:color="FFFFFF" w:sz="0"/>
            </w:tcBorders>
            <w:shd w:fill="F8F1F1" w:val="clear"/>
            <w:tcMar>
              <w:top w:type="dxa" w:w="90"/>
              <w:left w:type="dxa" w:w="110"/>
              <w:bottom w:type="dxa" w:w="90"/>
              <w:right w:type="dxa" w:w="110"/>
            </w:tcMar>
          </w:tcPr>
          <w:p>
            <w:pPr>
              <w:jc w:val="center"/>
            </w:pPr>
            <w:r>
              <w:rPr>
                <w:rFonts w:ascii="Arial" w:cs="Arial" w:eastAsia="Arial" w:hAnsi="Arial"/>
                <w:b/>
                <w:bCs/>
                <w:color w:val="8E2222"/>
                <w:sz w:val="33"/>
                <w:szCs w:val="33"/>
              </w:rPr>
              <w:t xml:space="preserve">3</w:t>
            </w:r>
          </w:p>
        </w:tc>
        <w:tc>
          <w:tcPr>
            <w:tcW w:type="dxa" w:w="1928"/>
            <w:tcBorders>
              <w:top w:val="single" w:color="8E2222" w:sz="10"/>
              <w:left w:val="none" w:color="FFFFFF" w:sz="0"/>
              <w:bottom w:val="none" w:color="FFFFFF" w:sz="0"/>
              <w:right w:val="none" w:color="FFFFFF" w:sz="0"/>
            </w:tcBorders>
            <w:shd w:fill="F8F1F1" w:val="clear"/>
            <w:tcMar>
              <w:top w:type="dxa" w:w="90"/>
              <w:left w:type="dxa" w:w="110"/>
              <w:bottom w:type="dxa" w:w="90"/>
              <w:right w:type="dxa" w:w="110"/>
            </w:tcMar>
          </w:tcPr>
          <w:p>
            <w:pPr>
              <w:jc w:val="center"/>
            </w:pPr>
            <w:r>
              <w:rPr>
                <w:rFonts w:ascii="Arial" w:cs="Arial" w:eastAsia="Arial" w:hAnsi="Arial"/>
                <w:b/>
                <w:bCs/>
                <w:color w:val="8E2222"/>
                <w:sz w:val="33"/>
                <w:szCs w:val="33"/>
              </w:rPr>
              <w:t xml:space="preserve">21 Tage</w:t>
            </w:r>
          </w:p>
        </w:tc>
        <w:tc>
          <w:tcPr>
            <w:tcW w:type="dxa" w:w="1928"/>
            <w:tcBorders>
              <w:top w:val="single" w:color="8E2222" w:sz="10"/>
              <w:left w:val="none" w:color="FFFFFF" w:sz="0"/>
              <w:bottom w:val="none" w:color="FFFFFF" w:sz="0"/>
              <w:right w:val="none" w:color="FFFFFF" w:sz="0"/>
            </w:tcBorders>
            <w:shd w:fill="F8F1F1" w:val="clear"/>
            <w:tcMar>
              <w:top w:type="dxa" w:w="90"/>
              <w:left w:type="dxa" w:w="110"/>
              <w:bottom w:type="dxa" w:w="90"/>
              <w:right w:type="dxa" w:w="110"/>
            </w:tcMar>
          </w:tcPr>
          <w:p>
            <w:pPr>
              <w:jc w:val="center"/>
            </w:pPr>
            <w:r>
              <w:rPr>
                <w:rFonts w:ascii="Arial" w:cs="Arial" w:eastAsia="Arial" w:hAnsi="Arial"/>
                <w:b/>
                <w:bCs/>
                <w:color w:val="8E2222"/>
                <w:sz w:val="33"/>
                <w:szCs w:val="33"/>
              </w:rPr>
              <w:t xml:space="preserve">500 T€</w:t>
            </w:r>
          </w:p>
        </w:tc>
      </w:tr>
      <w:tr>
        <w:tc>
          <w:tcPr>
            <w:tcW w:type="dxa" w:w="1928"/>
            <w:tcBorders>
              <w:top w:val="none" w:color="FFFFFF" w:sz="0"/>
              <w:left w:val="none" w:color="FFFFFF" w:sz="0"/>
              <w:bottom w:val="single" w:color="D8CFCF" w:sz="4"/>
              <w:right w:val="none" w:color="FFFFFF" w:sz="0"/>
            </w:tcBorders>
            <w:shd w:fill="F8F1F1" w:val="clear"/>
            <w:tcMar>
              <w:top w:type="dxa" w:w="90"/>
              <w:left w:type="dxa" w:w="110"/>
              <w:bottom w:type="dxa" w:w="90"/>
              <w:right w:type="dxa" w:w="110"/>
            </w:tcMar>
          </w:tcPr>
          <w:p>
            <w:pPr>
              <w:jc w:val="center"/>
            </w:pPr>
            <w:r>
              <w:rPr>
                <w:rFonts w:ascii="Arial" w:cs="Arial" w:eastAsia="Arial" w:hAnsi="Arial"/>
                <w:color w:val="5A5A5A"/>
                <w:sz w:val="14"/>
                <w:szCs w:val="14"/>
              </w:rPr>
              <w:t xml:space="preserve">Module + Aufgabenebene, live auf app.baulynq.com</w:t>
            </w:r>
          </w:p>
        </w:tc>
        <w:tc>
          <w:tcPr>
            <w:tcW w:type="dxa" w:w="1928"/>
            <w:tcBorders>
              <w:top w:val="none" w:color="FFFFFF" w:sz="0"/>
              <w:left w:val="none" w:color="FFFFFF" w:sz="0"/>
              <w:bottom w:val="single" w:color="D8CFCF" w:sz="4"/>
              <w:right w:val="none" w:color="FFFFFF" w:sz="0"/>
            </w:tcBorders>
            <w:shd w:fill="F8F1F1" w:val="clear"/>
            <w:tcMar>
              <w:top w:type="dxa" w:w="90"/>
              <w:left w:type="dxa" w:w="110"/>
              <w:bottom w:type="dxa" w:w="90"/>
              <w:right w:type="dxa" w:w="110"/>
            </w:tcMar>
          </w:tcPr>
          <w:p>
            <w:pPr>
              <w:jc w:val="center"/>
            </w:pPr>
            <w:r>
              <w:rPr>
                <w:rFonts w:ascii="Arial" w:cs="Arial" w:eastAsia="Arial" w:hAnsi="Arial"/>
                <w:color w:val="5A5A5A"/>
                <w:sz w:val="14"/>
                <w:szCs w:val="14"/>
              </w:rPr>
              <w:t xml:space="preserve">automatisierte Backend-Tests, im Repository verifiziert</w:t>
            </w:r>
          </w:p>
        </w:tc>
        <w:tc>
          <w:tcPr>
            <w:tcW w:type="dxa" w:w="1928"/>
            <w:tcBorders>
              <w:top w:val="none" w:color="FFFFFF" w:sz="0"/>
              <w:left w:val="none" w:color="FFFFFF" w:sz="0"/>
              <w:bottom w:val="single" w:color="D8CFCF" w:sz="4"/>
              <w:right w:val="none" w:color="FFFFFF" w:sz="0"/>
            </w:tcBorders>
            <w:shd w:fill="F8F1F1" w:val="clear"/>
            <w:tcMar>
              <w:top w:type="dxa" w:w="90"/>
              <w:left w:type="dxa" w:w="110"/>
              <w:bottom w:type="dxa" w:w="90"/>
              <w:right w:type="dxa" w:w="110"/>
            </w:tcMar>
          </w:tcPr>
          <w:p>
            <w:pPr>
              <w:jc w:val="center"/>
            </w:pPr>
            <w:r>
              <w:rPr>
                <w:rFonts w:ascii="Arial" w:cs="Arial" w:eastAsia="Arial" w:hAnsi="Arial"/>
                <w:color w:val="5A5A5A"/>
                <w:sz w:val="14"/>
                <w:szCs w:val="14"/>
              </w:rPr>
              <w:t xml:space="preserve">Gründungsingenieure — die Plattform von einem geschrieben</w:t>
            </w:r>
          </w:p>
        </w:tc>
        <w:tc>
          <w:tcPr>
            <w:tcW w:type="dxa" w:w="1928"/>
            <w:tcBorders>
              <w:top w:val="none" w:color="FFFFFF" w:sz="0"/>
              <w:left w:val="none" w:color="FFFFFF" w:sz="0"/>
              <w:bottom w:val="single" w:color="D8CFCF" w:sz="4"/>
              <w:right w:val="none" w:color="FFFFFF" w:sz="0"/>
            </w:tcBorders>
            <w:shd w:fill="F8F1F1" w:val="clear"/>
            <w:tcMar>
              <w:top w:type="dxa" w:w="90"/>
              <w:left w:type="dxa" w:w="110"/>
              <w:bottom w:type="dxa" w:w="90"/>
              <w:right w:type="dxa" w:w="110"/>
            </w:tcMar>
          </w:tcPr>
          <w:p>
            <w:pPr>
              <w:jc w:val="center"/>
            </w:pPr>
            <w:r>
              <w:rPr>
                <w:rFonts w:ascii="Arial" w:cs="Arial" w:eastAsia="Arial" w:hAnsi="Arial"/>
                <w:color w:val="5A5A5A"/>
                <w:sz w:val="14"/>
                <w:szCs w:val="14"/>
              </w:rPr>
              <w:t xml:space="preserve">Go-live-Ziel für das erste Modul je Betrieb</w:t>
            </w:r>
          </w:p>
        </w:tc>
        <w:tc>
          <w:tcPr>
            <w:tcW w:type="dxa" w:w="1928"/>
            <w:tcBorders>
              <w:top w:val="none" w:color="FFFFFF" w:sz="0"/>
              <w:left w:val="none" w:color="FFFFFF" w:sz="0"/>
              <w:bottom w:val="single" w:color="D8CFCF" w:sz="4"/>
              <w:right w:val="none" w:color="FFFFFF" w:sz="0"/>
            </w:tcBorders>
            <w:shd w:fill="F8F1F1" w:val="clear"/>
            <w:tcMar>
              <w:top w:type="dxa" w:w="90"/>
              <w:left w:type="dxa" w:w="110"/>
              <w:bottom w:type="dxa" w:w="90"/>
              <w:right w:type="dxa" w:w="110"/>
            </w:tcMar>
          </w:tcPr>
          <w:p>
            <w:pPr>
              <w:jc w:val="center"/>
            </w:pPr>
            <w:r>
              <w:rPr>
                <w:rFonts w:ascii="Arial" w:cs="Arial" w:eastAsia="Arial" w:hAnsi="Arial"/>
                <w:color w:val="5A5A5A"/>
                <w:sz w:val="14"/>
                <w:szCs w:val="14"/>
              </w:rPr>
              <w:t xml:space="preserve">vorgeschlagene Seed-Runde — ein Beschleunigungsinstrument</w:t>
            </w:r>
          </w:p>
        </w:tc>
      </w:tr>
    </w:tbl>
    <w:p>
      <w:pPr>
        <w:spacing w:after="200"/>
      </w:pPr>
    </w:p>
    <w:p>
      <w:pPr>
        <w:spacing w:after="190" w:line="318"/>
      </w:pPr>
      <w:r>
        <w:rPr>
          <w:rFonts w:ascii="Arial" w:cs="Arial" w:eastAsia="Arial" w:hAnsi="Arial"/>
          <w:color w:val="141414"/>
          <w:sz w:val="19"/>
          <w:szCs w:val="19"/>
        </w:rPr>
        <w:t xml:space="preserve">BauLynq ersetzt die zerstückelte Excel-und-E-Mail-Datenkette der Bauwirtschaft durch einen durchgängigen Projektdatensatz. Das Leistungsverzeichnis ist das Rückgrat: Ausschreibung, Vergabe, Ausführung, Abrechnung und Übergabe lesen und schreiben denselben Datensatz. Zehn Module plus eine übergreifende Aufgabenebene sind </w:t>
      </w:r>
      <w:r>
        <w:rPr>
          <w:rFonts w:ascii="Arial" w:cs="Arial" w:eastAsia="Arial" w:hAnsi="Arial"/>
          <w:b/>
          <w:bCs/>
          <w:color w:val="141414"/>
          <w:sz w:val="19"/>
          <w:szCs w:val="19"/>
        </w:rPr>
        <w:t xml:space="preserve">gebaut und live auf app.baulynq.com</w:t>
      </w:r>
      <w:r>
        <w:rPr>
          <w:rFonts w:ascii="Arial" w:cs="Arial" w:eastAsia="Arial" w:hAnsi="Arial"/>
          <w:color w:val="141414"/>
          <w:sz w:val="19"/>
          <w:szCs w:val="19"/>
        </w:rPr>
        <w:t xml:space="preserve"> — mit 1.465 automatisierten Backend-Tests (am 18. Juli 2026 im Repository verifiziert), entwickelt von Gründer Mohamad El Ejel und getragen von einem </w:t>
      </w:r>
      <w:r>
        <w:rPr>
          <w:rFonts w:ascii="Arial" w:cs="Arial" w:eastAsia="Arial" w:hAnsi="Arial"/>
          <w:b/>
          <w:bCs/>
          <w:color w:val="141414"/>
          <w:sz w:val="19"/>
          <w:szCs w:val="19"/>
        </w:rPr>
        <w:t xml:space="preserve">Gründerteam aus drei Ingenieuren</w:t>
      </w:r>
      <w:r>
        <w:rPr>
          <w:rFonts w:ascii="Arial" w:cs="Arial" w:eastAsia="Arial" w:hAnsi="Arial"/>
          <w:color w:val="141414"/>
          <w:sz w:val="19"/>
          <w:szCs w:val="19"/>
        </w:rPr>
        <w:t xml:space="preserve"> mit Wurzeln in der Bauwirtschaft.</w:t>
      </w:r>
    </w:p>
    <w:p>
      <w:pPr>
        <w:spacing w:after="190" w:line="318"/>
      </w:pPr>
      <w:r>
        <w:rPr>
          <w:rFonts w:ascii="Arial" w:cs="Arial" w:eastAsia="Arial" w:hAnsi="Arial"/>
          <w:b/>
          <w:bCs/>
          <w:color w:val="141414"/>
          <w:sz w:val="19"/>
          <w:szCs w:val="19"/>
        </w:rPr>
        <w:t xml:space="preserve">Das Problem ist zahlungsrelevant.</w:t>
      </w:r>
      <w:r>
        <w:rPr>
          <w:rFonts w:ascii="Arial" w:cs="Arial" w:eastAsia="Arial" w:hAnsi="Arial"/>
          <w:color w:val="141414"/>
          <w:sz w:val="19"/>
          <w:szCs w:val="19"/>
        </w:rPr>
        <w:t xml:space="preserve"> Der Monatsabschluss eines mittelständischen Bauunternehmens dauert rund zehn Tage — Excel-Listen und Telefonate. Bei jeder Phasenübergabe wird abgetippt; Nachträge fallen unter den Tisch, und mit ihnen bereits auf der Baustelle verdiente Marge. </w:t>
      </w:r>
      <w:r>
        <w:rPr>
          <w:rFonts w:ascii="Arial" w:cs="Arial" w:eastAsia="Arial" w:hAnsi="Arial"/>
          <w:b/>
          <w:bCs/>
          <w:color w:val="141414"/>
          <w:sz w:val="19"/>
          <w:szCs w:val="19"/>
        </w:rPr>
        <w:t xml:space="preserve">Der Zeitpunkt ist gesetzlich gesetzt:</w:t>
      </w:r>
      <w:r>
        <w:rPr>
          <w:rFonts w:ascii="Arial" w:cs="Arial" w:eastAsia="Arial" w:hAnsi="Arial"/>
          <w:color w:val="141414"/>
          <w:sz w:val="19"/>
          <w:szCs w:val="19"/>
        </w:rPr>
        <w:t xml:space="preserve"> Seit 2025 muss jedes Unternehmen E-Rechnungen empfangen können; ab Januar 2027 wird das Ausstellen ab 800.000 € Vorjahresumsatz Pflicht, ab 2028 für alle inländischen B2B-Umsätze. Die Pflicht verkauft keine Plattform — aber sie zwingt jeden Zielbetrieb, seinen Rechnungsprozess genau dann anzufassen, wenn ein Wechselgespräch möglich ist.</w:t>
      </w:r>
    </w:p>
    <w:p>
      <w:pPr>
        <w:spacing w:after="190" w:line="318"/>
      </w:pPr>
      <w:r>
        <w:rPr>
          <w:rFonts w:ascii="Arial" w:cs="Arial" w:eastAsia="Arial" w:hAnsi="Arial"/>
          <w:b/>
          <w:bCs/>
          <w:color w:val="141414"/>
          <w:sz w:val="19"/>
          <w:szCs w:val="19"/>
        </w:rPr>
        <w:t xml:space="preserve">Die Positionierung ist national — und bewusst gewählt.</w:t>
      </w:r>
      <w:r>
        <w:rPr>
          <w:rFonts w:ascii="Arial" w:cs="Arial" w:eastAsia="Arial" w:hAnsi="Arial"/>
          <w:color w:val="141414"/>
          <w:sz w:val="19"/>
          <w:szCs w:val="19"/>
        </w:rPr>
        <w:t xml:space="preserve"> Die führenden Cloud-Plattformen für Baumanagement sind amerikanisch: Procore (1,32 Mrd. USD Umsatz 2025, 17.850 Kunden) und Autodesk Construction Cloud belegen die Kategorie im Maßstab. Keine der beiden wirbt mit nativer Unterstützung des deutschen Stacks (GAEB, VOB-Abrechnung, REB, XRechnung, GoBD); Procore betreibt gar keine EU-Application-Zone — Anwendungsdaten europäischer Kunden laufen über Großbritannien, Kalkulationsdaten über die USA. BauLynq ist die deutsche Antwort: gebaut in Deutschland, für deutsches Baurecht, gehostet in Deutschland (Azure EU) — zuerst für den deutschen Mittelstand, dann darüber hinaus. DATEV und Personio zeigen, wie dieses Drehbuch ausgeht: Der lokalisierte deutsche Anbieter gewinnt den Heimatmarkt, den der US-Anbieter nicht knackt.</w:t>
      </w:r>
    </w:p>
    <w:p>
      <w:pPr>
        <w:spacing w:after="190" w:line="318"/>
      </w:pPr>
      <w:r>
        <w:rPr>
          <w:rFonts w:ascii="Arial" w:cs="Arial" w:eastAsia="Arial" w:hAnsi="Arial"/>
          <w:b/>
          <w:bCs/>
          <w:color w:val="141414"/>
          <w:sz w:val="19"/>
          <w:szCs w:val="19"/>
        </w:rPr>
        <w:t xml:space="preserve">Der Plan ist in beide Richtungen kapitaleffizient.</w:t>
      </w:r>
      <w:r>
        <w:rPr>
          <w:rFonts w:ascii="Arial" w:cs="Arial" w:eastAsia="Arial" w:hAnsi="Arial"/>
          <w:color w:val="141414"/>
          <w:sz w:val="19"/>
          <w:szCs w:val="19"/>
        </w:rPr>
        <w:t xml:space="preserve"> Eigenfinanziert (Basisszenario) erreicht BauLynq bis Ende 2028 rund 96 Kunden und ca. 1,18 Mio. € ARR, wird im Laufe von 2028 EBITDA-positiv und benötigt in der Spitze nur ca. 277 T€ Liquidität. Die </w:t>
      </w:r>
      <w:r>
        <w:rPr>
          <w:rFonts w:ascii="Arial" w:cs="Arial" w:eastAsia="Arial" w:hAnsi="Arial"/>
          <w:b/>
          <w:bCs/>
          <w:color w:val="141414"/>
          <w:sz w:val="19"/>
          <w:szCs w:val="19"/>
        </w:rPr>
        <w:t xml:space="preserve">Seed-Runde über 500 T€</w:t>
      </w:r>
      <w:r>
        <w:rPr>
          <w:rFonts w:ascii="Arial" w:cs="Arial" w:eastAsia="Arial" w:hAnsi="Arial"/>
          <w:color w:val="141414"/>
          <w:sz w:val="19"/>
          <w:szCs w:val="19"/>
        </w:rPr>
        <w:t xml:space="preserve"> ist ein Beschleunigungsinstrument: Vorgezogene Vertriebskapazität und höheres Marketing heben dieselbe Maschine auf ca. 145 Kunden und ca. 2,0 Mio. € ARR Ende 2028 (+0,8 Mio. € gegenüber Basis). Selbst der konservative Fall — 40 % weniger Abschlüsse, 2 % monatliche Kündigungsquote, Einstellungen um sechs Monate verschoben — bleibt innerhalb der Runde.</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2699"/>
        <w:gridCol w:w="1735"/>
        <w:gridCol w:w="1735"/>
        <w:gridCol w:w="1735"/>
        <w:gridCol w:w="1735"/>
      </w:tblGrid>
      <w:tr>
        <w:trPr>
          <w:tblHeader/>
        </w:trPr>
        <w:tc>
          <w:tcPr>
            <w:tcW w:type="dxa" w:w="2699"/>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Ende 2028</w:t>
            </w:r>
          </w:p>
        </w:tc>
        <w:tc>
          <w:tcPr>
            <w:tcW w:type="dxa" w:w="1735"/>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Konservativ</w:t>
            </w:r>
          </w:p>
        </w:tc>
        <w:tc>
          <w:tcPr>
            <w:tcW w:type="dxa" w:w="1735"/>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Basis (eigenfinanziert)</w:t>
            </w:r>
          </w:p>
        </w:tc>
        <w:tc>
          <w:tcPr>
            <w:tcW w:type="dxa" w:w="1735"/>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Beschleunigt (finanziert)</w:t>
            </w:r>
          </w:p>
        </w:tc>
        <w:tc>
          <w:tcPr>
            <w:tcW w:type="dxa" w:w="1735"/>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Zielbild (Entwurf)</w:t>
            </w:r>
          </w:p>
        </w:tc>
      </w:tr>
      <w:tr>
        <w:tc>
          <w:tcPr>
            <w:tcW w:type="dxa" w:w="269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Kunden</w:t>
            </w:r>
          </w:p>
        </w:tc>
        <w:tc>
          <w:tcPr>
            <w:tcW w:type="dxa" w:w="173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54</w:t>
            </w:r>
          </w:p>
        </w:tc>
        <w:tc>
          <w:tcPr>
            <w:tcW w:type="dxa" w:w="173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96</w:t>
            </w:r>
          </w:p>
        </w:tc>
        <w:tc>
          <w:tcPr>
            <w:tcW w:type="dxa" w:w="173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145</w:t>
            </w:r>
          </w:p>
        </w:tc>
        <w:tc>
          <w:tcPr>
            <w:tcW w:type="dxa" w:w="173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105</w:t>
            </w:r>
          </w:p>
        </w:tc>
      </w:tr>
      <w:tr>
        <w:tc>
          <w:tcPr>
            <w:tcW w:type="dxa" w:w="269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ARR (annualisiert)</w:t>
            </w:r>
          </w:p>
        </w:tc>
        <w:tc>
          <w:tcPr>
            <w:tcW w:type="dxa" w:w="173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0,58 Mio. €</w:t>
            </w:r>
          </w:p>
        </w:tc>
        <w:tc>
          <w:tcPr>
            <w:tcW w:type="dxa" w:w="173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1,18 Mio. €</w:t>
            </w:r>
          </w:p>
        </w:tc>
        <w:tc>
          <w:tcPr>
            <w:tcW w:type="dxa" w:w="173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2,00 Mio. €</w:t>
            </w:r>
          </w:p>
        </w:tc>
        <w:tc>
          <w:tcPr>
            <w:tcW w:type="dxa" w:w="173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1,74 Mio. €</w:t>
            </w:r>
          </w:p>
        </w:tc>
      </w:tr>
      <w:tr>
        <w:tc>
          <w:tcPr>
            <w:tcW w:type="dxa" w:w="269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EBITDA 2028</w:t>
            </w:r>
          </w:p>
        </w:tc>
        <w:tc>
          <w:tcPr>
            <w:tcW w:type="dxa" w:w="173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−108 T€</w:t>
            </w:r>
          </w:p>
        </w:tc>
        <w:tc>
          <w:tcPr>
            <w:tcW w:type="dxa" w:w="173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+128 T€</w:t>
            </w:r>
          </w:p>
        </w:tc>
        <w:tc>
          <w:tcPr>
            <w:tcW w:type="dxa" w:w="173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+656 T€</w:t>
            </w:r>
          </w:p>
        </w:tc>
        <w:tc>
          <w:tcPr>
            <w:tcW w:type="dxa" w:w="173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+495 T€</w:t>
            </w:r>
          </w:p>
        </w:tc>
      </w:tr>
      <w:tr>
        <w:tc>
          <w:tcPr>
            <w:tcW w:type="dxa" w:w="269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Spitzen-Liquiditätsbedarf (vor Finanzierung)</w:t>
            </w:r>
          </w:p>
        </w:tc>
        <w:tc>
          <w:tcPr>
            <w:tcW w:type="dxa" w:w="173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310 T€</w:t>
            </w:r>
          </w:p>
        </w:tc>
        <w:tc>
          <w:tcPr>
            <w:tcW w:type="dxa" w:w="173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277 T€</w:t>
            </w:r>
          </w:p>
        </w:tc>
        <w:tc>
          <w:tcPr>
            <w:tcW w:type="dxa" w:w="173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206 T€</w:t>
            </w:r>
          </w:p>
        </w:tc>
        <w:tc>
          <w:tcPr>
            <w:tcW w:type="dxa" w:w="173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201 T€</w:t>
            </w:r>
          </w:p>
        </w:tc>
      </w:tr>
    </w:tbl>
    <w:p>
      <w:pPr>
        <w:spacing w:after="160"/>
      </w:pPr>
    </w:p>
    <w:p>
      <w:pPr>
        <w:spacing w:after="190" w:line="318"/>
      </w:pPr>
      <w:r>
        <w:rPr>
          <w:rFonts w:ascii="Arial" w:cs="Arial" w:eastAsia="Arial" w:hAnsi="Arial"/>
          <w:color w:val="141414"/>
          <w:sz w:val="19"/>
          <w:szCs w:val="19"/>
        </w:rPr>
        <w:t xml:space="preserve">Der Weg: Pilotkohorte im zweiten Halbjahr 2026 (8 Betriebe, Sonderkonditionen, 21-Tage-Go-live-Ziel für das erste Modul) → zahlende Referenzkunden 2027 → die Plattform, auf die der Mittelstand wechselt, wenn die Pflicht 2028 alle erreicht — mit DACH-Expansion als zusätzlichem Potenzial.</w:t>
      </w:r>
    </w:p>
    <w:p>
      <w:pPr>
        <w:spacing w:after="70" w:before="420"/>
      </w:pPr>
      <w:r>
        <w:rPr>
          <w:rFonts w:ascii="Courier New" w:cs="Courier New" w:eastAsia="Courier New" w:hAnsi="Courier New"/>
          <w:color w:val="C9554D"/>
          <w:sz w:val="16"/>
          <w:szCs w:val="16"/>
        </w:rPr>
        <w:t xml:space="preserve">ABSCHNITT 02</w:t>
      </w:r>
    </w:p>
    <w:p>
      <w:pPr>
        <w:pStyle w:val="Heading1"/>
        <w:spacing w:after="90"/>
      </w:pPr>
      <w:r>
        <w:rPr>
          <w:rFonts w:ascii="Arial" w:cs="Arial" w:eastAsia="Arial" w:hAnsi="Arial"/>
          <w:b/>
          <w:bCs/>
          <w:color w:val="141414"/>
          <w:sz w:val="36"/>
          <w:szCs w:val="36"/>
        </w:rPr>
        <w:t xml:space="preserve">Was bereits gebaut ist</w:t>
      </w:r>
    </w:p>
    <w:p>
      <w:pPr>
        <w:pBdr>
          <w:bottom w:val="single" w:color="8E2222" w:sz="8"/>
        </w:pBdr>
        <w:spacing w:after="230"/>
      </w:pPr>
      <w:r>
        <w:rPr>
          <w:rFonts w:ascii="Arial" w:cs="Arial" w:eastAsia="Arial" w:hAnsi="Arial"/>
          <w:i/>
          <w:iCs/>
          <w:color w:val="5A5A5A"/>
          <w:sz w:val="20"/>
          <w:szCs w:val="20"/>
        </w:rPr>
        <w:t xml:space="preserve">Ein ungewöhnlich großer Vermögenswert für ein Unternehmen vor dem ersten Umsatz — im Repository verifiziert, nicht behauptet.</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3181"/>
        <w:gridCol w:w="6459"/>
      </w:tblGrid>
      <w:tr>
        <w:trPr>
          <w:tblHeader/>
        </w:trPr>
        <w:tc>
          <w:tcPr>
            <w:tcW w:type="dxa" w:w="3181"/>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Verifizierter Fakt (Stand 18. Juli 2026)</w:t>
            </w:r>
          </w:p>
        </w:tc>
        <w:tc>
          <w:tcPr>
            <w:tcW w:type="dxa" w:w="6459"/>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Detail</w:t>
            </w:r>
          </w:p>
        </w:tc>
      </w:tr>
      <w:tr>
        <w:tc>
          <w:tcPr>
            <w:tcW w:type="dxa" w:w="3181"/>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Live-Produkt</w:t>
            </w:r>
          </w:p>
        </w:tc>
        <w:tc>
          <w:tcPr>
            <w:tcW w:type="dxa" w:w="645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app.baulynq.com (Frontend) · api.baulynq.com (Backend); öffentliche Website www.baulynq.com</w:t>
            </w:r>
          </w:p>
        </w:tc>
      </w:tr>
      <w:tr>
        <w:tc>
          <w:tcPr>
            <w:tcW w:type="dxa" w:w="3181"/>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12 Modulbereiche im Produktionscode</w:t>
            </w:r>
          </w:p>
        </w:tc>
        <w:tc>
          <w:tcPr>
            <w:tcW w:type="dxa" w:w="645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BidX · InrX · FleetX · CrewX · ReportsX · SUBX · ProcureX · LedgerX · TED · PlanX · BIM · Aufgaben, plus Verwaltung</w:t>
            </w:r>
          </w:p>
        </w:tc>
      </w:tr>
      <w:tr>
        <w:tc>
          <w:tcPr>
            <w:tcW w:type="dxa" w:w="3181"/>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1.465 automatisierte Backend-Tests</w:t>
            </w:r>
          </w:p>
        </w:tc>
        <w:tc>
          <w:tcPr>
            <w:tcW w:type="dxa" w:w="645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[Fact]/[Theory]-Methoden in BauLynq.Tests: GAEB-Roundtrips, REB-Formeln, Lohnabrechnung, Abrechnungs-Gates, deutsche Zahlenformate</w:t>
            </w:r>
          </w:p>
        </w:tc>
      </w:tr>
      <w:tr>
        <w:tc>
          <w:tcPr>
            <w:tcW w:type="dxa" w:w="3181"/>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Authentifizierung &amp; Berechtigungen</w:t>
            </w:r>
          </w:p>
        </w:tc>
        <w:tc>
          <w:tcPr>
            <w:tcW w:type="dxa" w:w="645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AuthContext / RequireAuth / Rollenrechte im Frontend vorhanden</w:t>
            </w:r>
          </w:p>
        </w:tc>
      </w:tr>
      <w:tr>
        <w:tc>
          <w:tcPr>
            <w:tcW w:type="dxa" w:w="3181"/>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Architektur</w:t>
            </w:r>
          </w:p>
        </w:tc>
        <w:tc>
          <w:tcPr>
            <w:tcW w:type="dxa" w:w="645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.NET 10 Clean Architecture; React 19; deutsch zuerst, vollständige englische Lokalisierung; EUR/de-DE</w:t>
            </w:r>
          </w:p>
        </w:tc>
      </w:tr>
      <w:tr>
        <w:tc>
          <w:tcPr>
            <w:tcW w:type="dxa" w:w="3181"/>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Fundament</w:t>
            </w:r>
          </w:p>
        </w:tc>
        <w:tc>
          <w:tcPr>
            <w:tcW w:type="dxa" w:w="645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Projekte (HOAI LP 1–9), Baustellen, AG/AN-Achse der Beteiligten, LV-Baum mit OZ-Adressierung, Kostengruppen nach DIN 276, ATV-Abrechnungsregeln</w:t>
            </w:r>
          </w:p>
        </w:tc>
      </w:tr>
    </w:tbl>
    <w:p>
      <w:pPr>
        <w:spacing w:after="160"/>
      </w:pPr>
    </w:p>
    <w:p>
      <w:pPr>
        <w:spacing w:after="190" w:line="318"/>
      </w:pPr>
      <w:r>
        <w:rPr>
          <w:rFonts w:ascii="Arial" w:cs="Arial" w:eastAsia="Arial" w:hAnsi="Arial"/>
          <w:color w:val="141414"/>
          <w:sz w:val="19"/>
          <w:szCs w:val="19"/>
        </w:rPr>
        <w:t xml:space="preserve">Der Plattform-Code wurde von einem einzigen Ingenieur in rund zwei Jahren geschrieben — ein Umfang, den finanzierte Teams üblicherweise mit mehreren Millionen Euro Wagniskapital angehen — und hinter dem Produkt steht ein Gründerteam aus drei Ingenieuren. Die Konsequenz für einen Investor: </w:t>
      </w:r>
      <w:r>
        <w:rPr>
          <w:rFonts w:ascii="Arial" w:cs="Arial" w:eastAsia="Arial" w:hAnsi="Arial"/>
          <w:b/>
          <w:bCs/>
          <w:color w:val="141414"/>
          <w:sz w:val="19"/>
          <w:szCs w:val="19"/>
        </w:rPr>
        <w:t xml:space="preserve">500 T€ kaufen hier Markterschließung für ein fertiges Produkt, kein Produktrisiko.</w:t>
      </w:r>
      <w:r>
        <w:rPr>
          <w:rFonts w:ascii="Arial" w:cs="Arial" w:eastAsia="Arial" w:hAnsi="Arial"/>
          <w:color w:val="141414"/>
          <w:sz w:val="19"/>
          <w:szCs w:val="19"/>
        </w:rPr>
        <w:t xml:space="preserve"> Die fachliche Tiefe konzentriert sich dort, wo Aufträge gewonnen werden — BidX und InrX, der GAEB/VOB/REB-Kern für Ausschreibung und Abrechnung, den keine Punktlösung bietet. Die übrigen Module liefern verbundene Solidität auf demselben Datensatz; der Burggraben ist der durchgängige Datensatz, nicht zehn Einzelbestleistungen.</w:t>
      </w:r>
    </w:p>
    <w:p>
      <w:pPr>
        <w:spacing w:after="70" w:before="420"/>
      </w:pPr>
      <w:r>
        <w:rPr>
          <w:rFonts w:ascii="Courier New" w:cs="Courier New" w:eastAsia="Courier New" w:hAnsi="Courier New"/>
          <w:color w:val="C9554D"/>
          <w:sz w:val="16"/>
          <w:szCs w:val="16"/>
        </w:rPr>
        <w:t xml:space="preserve">ABSCHNITT 03</w:t>
      </w:r>
    </w:p>
    <w:p>
      <w:pPr>
        <w:pStyle w:val="Heading1"/>
        <w:spacing w:after="90"/>
      </w:pPr>
      <w:r>
        <w:rPr>
          <w:rFonts w:ascii="Arial" w:cs="Arial" w:eastAsia="Arial" w:hAnsi="Arial"/>
          <w:b/>
          <w:bCs/>
          <w:color w:val="141414"/>
          <w:sz w:val="36"/>
          <w:szCs w:val="36"/>
        </w:rPr>
        <w:t xml:space="preserve">Das Problem</w:t>
      </w:r>
    </w:p>
    <w:p>
      <w:pPr>
        <w:pBdr>
          <w:bottom w:val="single" w:color="8E2222" w:sz="8"/>
        </w:pBdr>
        <w:spacing w:after="230"/>
      </w:pPr>
      <w:r>
        <w:rPr>
          <w:rFonts w:ascii="Arial" w:cs="Arial" w:eastAsia="Arial" w:hAnsi="Arial"/>
          <w:i/>
          <w:iCs/>
          <w:color w:val="5A5A5A"/>
          <w:sz w:val="20"/>
          <w:szCs w:val="20"/>
        </w:rPr>
        <w:t xml:space="preserve">Bei jeder Übergabe wird abgetippt — und verdiente Marge geht verloren.</w:t>
      </w:r>
    </w:p>
    <w:p>
      <w:pPr>
        <w:spacing w:after="190" w:line="318"/>
      </w:pPr>
      <w:r>
        <w:rPr>
          <w:rFonts w:ascii="Arial" w:cs="Arial" w:eastAsia="Arial" w:hAnsi="Arial"/>
          <w:color w:val="141414"/>
          <w:sz w:val="19"/>
          <w:szCs w:val="19"/>
        </w:rPr>
        <w:t xml:space="preserve">Das Problem ist nicht die Baustelle — es ist der Weg der Daten. Jede Phase führt ihre eigenen Listen: das Ausschreibungs-LV in einer Datei, die Arbeitsvorbereitung in einer zweiten, Aufmaße als PDF, Stundenzettel in einer dritten Mappe. Dateien wie „Abrechnung_final_v7.xlsx“ und „Nachtrag_neu_NEU.xlsx“ sind das tatsächliche Buchführungssystem der Branche.</w:t>
      </w:r>
    </w:p>
    <w:p>
      <w:pPr>
        <w:pStyle w:val="ListParagraph"/>
        <w:numPr>
          <w:ilvl w:val="0"/>
          <w:numId w:val="2"/>
        </w:numPr>
        <w:spacing w:after="130" w:line="300"/>
      </w:pPr>
      <w:r>
        <w:rPr>
          <w:rFonts w:ascii="Arial" w:cs="Arial" w:eastAsia="Arial" w:hAnsi="Arial"/>
          <w:b/>
          <w:bCs/>
          <w:color w:val="141414"/>
          <w:sz w:val="19"/>
          <w:szCs w:val="19"/>
        </w:rPr>
        <w:t xml:space="preserve">Übertragungsfehler</w:t>
      </w:r>
      <w:r>
        <w:rPr>
          <w:rFonts w:ascii="Arial" w:cs="Arial" w:eastAsia="Arial" w:hAnsi="Arial"/>
          <w:color w:val="141414"/>
          <w:sz w:val="19"/>
          <w:szCs w:val="19"/>
        </w:rPr>
        <w:t xml:space="preserve"> — Mengen und Preise driften zwischen Ausschreibungs-LV, Vertrags-LV und Abrechnungstabellen auseinander.</w:t>
      </w:r>
    </w:p>
    <w:p>
      <w:pPr>
        <w:pStyle w:val="ListParagraph"/>
        <w:numPr>
          <w:ilvl w:val="0"/>
          <w:numId w:val="2"/>
        </w:numPr>
        <w:spacing w:after="130" w:line="300"/>
      </w:pPr>
      <w:r>
        <w:rPr>
          <w:rFonts w:ascii="Arial" w:cs="Arial" w:eastAsia="Arial" w:hAnsi="Arial"/>
          <w:b/>
          <w:bCs/>
          <w:color w:val="141414"/>
          <w:sz w:val="19"/>
          <w:szCs w:val="19"/>
        </w:rPr>
        <w:t xml:space="preserve">Verlorene Nachträge</w:t>
      </w:r>
      <w:r>
        <w:rPr>
          <w:rFonts w:ascii="Arial" w:cs="Arial" w:eastAsia="Arial" w:hAnsi="Arial"/>
          <w:color w:val="141414"/>
          <w:sz w:val="19"/>
          <w:szCs w:val="19"/>
        </w:rPr>
        <w:t xml:space="preserve"> — auf der Baustelle erfasste Nachträge erreichen die Schlussrechnung nie.</w:t>
      </w:r>
    </w:p>
    <w:p>
      <w:pPr>
        <w:pStyle w:val="ListParagraph"/>
        <w:numPr>
          <w:ilvl w:val="0"/>
          <w:numId w:val="2"/>
        </w:numPr>
        <w:spacing w:after="130" w:line="300"/>
      </w:pPr>
      <w:r>
        <w:rPr>
          <w:rFonts w:ascii="Arial" w:cs="Arial" w:eastAsia="Arial" w:hAnsi="Arial"/>
          <w:b/>
          <w:bCs/>
          <w:color w:val="141414"/>
          <w:sz w:val="19"/>
          <w:szCs w:val="19"/>
        </w:rPr>
        <w:t xml:space="preserve">Doppelte Stammdaten</w:t>
      </w:r>
      <w:r>
        <w:rPr>
          <w:rFonts w:ascii="Arial" w:cs="Arial" w:eastAsia="Arial" w:hAnsi="Arial"/>
          <w:color w:val="141414"/>
          <w:sz w:val="19"/>
          <w:szCs w:val="19"/>
        </w:rPr>
        <w:t xml:space="preserve"> — Nachunternehmer, Maschinen und Kostenstellen werden in parallelen Listen gepflegt.</w:t>
      </w:r>
    </w:p>
    <w:p>
      <w:pPr>
        <w:pStyle w:val="ListParagraph"/>
        <w:numPr>
          <w:ilvl w:val="0"/>
          <w:numId w:val="2"/>
        </w:numPr>
        <w:spacing w:after="130" w:line="300"/>
      </w:pPr>
      <w:r>
        <w:rPr>
          <w:rFonts w:ascii="Arial" w:cs="Arial" w:eastAsia="Arial" w:hAnsi="Arial"/>
          <w:b/>
          <w:bCs/>
          <w:color w:val="141414"/>
          <w:sz w:val="19"/>
          <w:szCs w:val="19"/>
        </w:rPr>
        <w:t xml:space="preserve">Rund zehn Tage Monatsabschluss</w:t>
      </w:r>
      <w:r>
        <w:rPr>
          <w:rFonts w:ascii="Arial" w:cs="Arial" w:eastAsia="Arial" w:hAnsi="Arial"/>
          <w:color w:val="141414"/>
          <w:sz w:val="19"/>
          <w:szCs w:val="19"/>
        </w:rPr>
        <w:t xml:space="preserve"> — Tabellen und Telefonate statt eines Berichts.</w:t>
      </w:r>
    </w:p>
    <w:p>
      <w:pPr>
        <w:spacing w:after="190" w:line="318"/>
      </w:pPr>
      <w:r>
        <w:rPr>
          <w:rFonts w:ascii="Arial" w:cs="Arial" w:eastAsia="Arial" w:hAnsi="Arial"/>
          <w:color w:val="141414"/>
          <w:sz w:val="19"/>
          <w:szCs w:val="19"/>
        </w:rPr>
        <w:t xml:space="preserve">Mit jedem Abtippen verliert das Projekt an Genauigkeit — und jeder Verlust ist Marge, die der Betrieb bereits verdient hatte.</w:t>
      </w:r>
    </w:p>
    <w:p>
      <w:pPr>
        <w:spacing w:after="70" w:before="420"/>
      </w:pPr>
      <w:r>
        <w:rPr>
          <w:rFonts w:ascii="Courier New" w:cs="Courier New" w:eastAsia="Courier New" w:hAnsi="Courier New"/>
          <w:color w:val="C9554D"/>
          <w:sz w:val="16"/>
          <w:szCs w:val="16"/>
        </w:rPr>
        <w:t xml:space="preserve">ABSCHNITT 04</w:t>
      </w:r>
    </w:p>
    <w:p>
      <w:pPr>
        <w:pStyle w:val="Heading1"/>
        <w:spacing w:after="90"/>
      </w:pPr>
      <w:r>
        <w:rPr>
          <w:rFonts w:ascii="Arial" w:cs="Arial" w:eastAsia="Arial" w:hAnsi="Arial"/>
          <w:b/>
          <w:bCs/>
          <w:color w:val="141414"/>
          <w:sz w:val="36"/>
          <w:szCs w:val="36"/>
        </w:rPr>
        <w:t xml:space="preserve">Markt &amp; Zeitfenster</w:t>
      </w:r>
    </w:p>
    <w:p>
      <w:pPr>
        <w:pBdr>
          <w:bottom w:val="single" w:color="8E2222" w:sz="8"/>
        </w:pBdr>
        <w:spacing w:after="230"/>
      </w:pPr>
      <w:r>
        <w:rPr>
          <w:rFonts w:ascii="Arial" w:cs="Arial" w:eastAsia="Arial" w:hAnsi="Arial"/>
          <w:i/>
          <w:iCs/>
          <w:color w:val="5A5A5A"/>
          <w:sz w:val="20"/>
          <w:szCs w:val="20"/>
        </w:rPr>
        <w:t xml:space="preserve">Rund 4.540 deutsche Betriebe müssen ihren Rechnungsprozess bis 2028 anfassen — BauLynq braucht 100 davon.</w:t>
      </w:r>
    </w:p>
    <w:p>
      <w:pPr>
        <w:pStyle w:val="Heading2"/>
        <w:spacing w:after="140" w:before="300"/>
      </w:pPr>
      <w:r>
        <w:rPr>
          <w:rFonts w:ascii="Arial" w:cs="Arial" w:eastAsia="Arial" w:hAnsi="Arial"/>
          <w:b/>
          <w:bCs/>
          <w:color w:val="8E2222"/>
          <w:sz w:val="23"/>
          <w:szCs w:val="23"/>
        </w:rPr>
        <w:t xml:space="preserve">4.1  Marktgröße — von unten gerechnet</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3470"/>
        <w:gridCol w:w="2121"/>
        <w:gridCol w:w="4049"/>
      </w:tblGrid>
      <w:tr>
        <w:trPr>
          <w:tblHeader/>
        </w:trPr>
        <w:tc>
          <w:tcPr>
            <w:tcW w:type="dxa" w:w="3470"/>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Kennzahl</w:t>
            </w:r>
          </w:p>
        </w:tc>
        <w:tc>
          <w:tcPr>
            <w:tcW w:type="dxa" w:w="2121"/>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Wert</w:t>
            </w:r>
          </w:p>
        </w:tc>
        <w:tc>
          <w:tcPr>
            <w:tcW w:type="dxa" w:w="4049"/>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Quelle</w:t>
            </w:r>
          </w:p>
        </w:tc>
      </w:tr>
      <w:tr>
        <w:tc>
          <w:tcPr>
            <w:tcW w:type="dxa" w:w="3470"/>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Bauvolumen Deutschland</w:t>
            </w:r>
          </w:p>
        </w:tc>
        <w:tc>
          <w:tcPr>
            <w:tcW w:type="dxa" w:w="2121"/>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 560 Mrd. € / Jahr</w:t>
            </w:r>
          </w:p>
        </w:tc>
        <w:tc>
          <w:tcPr>
            <w:tcW w:type="dxa" w:w="404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DIW-Bauvolumenrechnung (2024: 554,8 Mrd. €; 2026e: 584 Mrd. €)</w:t>
            </w:r>
          </w:p>
        </w:tc>
      </w:tr>
      <w:tr>
        <w:tc>
          <w:tcPr>
            <w:tcW w:type="dxa" w:w="3470"/>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Betriebe (WZ F) mit 50–249 Beschäftigten</w:t>
            </w:r>
          </w:p>
        </w:tc>
        <w:tc>
          <w:tcPr>
            <w:tcW w:type="dxa" w:w="2121"/>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4.310</w:t>
            </w:r>
          </w:p>
        </w:tc>
        <w:tc>
          <w:tcPr>
            <w:tcW w:type="dxa" w:w="404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Destatis-Unternehmensregister 2024 (verifiziert)</w:t>
            </w:r>
          </w:p>
        </w:tc>
      </w:tr>
      <w:tr>
        <w:tc>
          <w:tcPr>
            <w:tcW w:type="dxa" w:w="3470"/>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Betriebe (WZ F) mit 250+ Beschäftigten</w:t>
            </w:r>
          </w:p>
        </w:tc>
        <w:tc>
          <w:tcPr>
            <w:tcW w:type="dxa" w:w="2121"/>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385</w:t>
            </w:r>
          </w:p>
        </w:tc>
        <w:tc>
          <w:tcPr>
            <w:tcW w:type="dxa" w:w="404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Destatis-Unternehmensregister 2024 (verifiziert)</w:t>
            </w:r>
          </w:p>
        </w:tc>
      </w:tr>
      <w:tr>
        <w:tc>
          <w:tcPr>
            <w:tcW w:type="dxa" w:w="3470"/>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Zielband 50–500 Beschäftigte (SAM)</w:t>
            </w:r>
          </w:p>
        </w:tc>
        <w:tc>
          <w:tcPr>
            <w:tcW w:type="dxa" w:w="2121"/>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 4.540 Betriebe</w:t>
            </w:r>
          </w:p>
        </w:tc>
        <w:tc>
          <w:tcPr>
            <w:tcW w:type="dxa" w:w="404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Modellschätzung (60 % der 250+-Klasse ≤ 500)</w:t>
            </w:r>
          </w:p>
        </w:tc>
      </w:tr>
      <w:tr>
        <w:tc>
          <w:tcPr>
            <w:tcW w:type="dxa" w:w="3470"/>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SAM-Wert</w:t>
            </w:r>
          </w:p>
        </w:tc>
        <w:tc>
          <w:tcPr>
            <w:tcW w:type="dxa" w:w="2121"/>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 56–81 Mio. € ARR</w:t>
            </w:r>
          </w:p>
        </w:tc>
        <w:tc>
          <w:tcPr>
            <w:tcW w:type="dxa" w:w="404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Misch-ARPA (56 Mio. €) bis Vollplattform (81 Mio. €)</w:t>
            </w:r>
          </w:p>
        </w:tc>
      </w:tr>
      <w:tr>
        <w:tc>
          <w:tcPr>
            <w:tcW w:type="dxa" w:w="3470"/>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100 Kunden bis Ende 2028</w:t>
            </w:r>
          </w:p>
        </w:tc>
        <w:tc>
          <w:tcPr>
            <w:tcW w:type="dxa" w:w="2121"/>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 2,2 % des SAM</w:t>
            </w:r>
          </w:p>
        </w:tc>
        <w:tc>
          <w:tcPr>
            <w:tcW w:type="dxa" w:w="404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Bewusst konservative Durchdringung</w:t>
            </w:r>
          </w:p>
        </w:tc>
      </w:tr>
    </w:tbl>
    <w:p>
      <w:pPr>
        <w:spacing w:after="160"/>
      </w:pPr>
    </w:p>
    <w:p>
      <w:pPr>
        <w:spacing w:after="190" w:line="318"/>
      </w:pPr>
      <w:r>
        <w:rPr>
          <w:rFonts w:ascii="Arial" w:cs="Arial" w:eastAsia="Arial" w:hAnsi="Arial"/>
          <w:b/>
          <w:bCs/>
          <w:color w:val="141414"/>
          <w:sz w:val="19"/>
          <w:szCs w:val="19"/>
        </w:rPr>
        <w:t xml:space="preserve">Über den deutschen SAM hinaus tragen drei Wachstumsvektoren das Potenzial Richtung 300+ Mio. € TAM:</w:t>
      </w:r>
      <w:r>
        <w:rPr>
          <w:rFonts w:ascii="Arial" w:cs="Arial" w:eastAsia="Arial" w:hAnsi="Arial"/>
          <w:color w:val="141414"/>
          <w:sz w:val="19"/>
          <w:szCs w:val="19"/>
        </w:rPr>
        <w:t xml:space="preserve"> (1) DACH — geschätzt rund 1.750 weitere Betriebe mit 50–500 Beschäftigten in Österreich und der Schweiz ab 2028; (2) Vertragswert-Ausbau — Enterprise-Paket und Zusatzlizenzen heben den maximalen Jahresumsatz je Kunde von 17,9 T€ auf 40–60 T€ bei Betrieben mit 250–500 Beschäftigten; (3) das Band der 10–49-Beschäftigten-Betriebe (≈ 30.000 Firmen) mit einem leichteren Paket nach 2028.</w:t>
      </w:r>
    </w:p>
    <w:p>
      <w:pPr>
        <w:pStyle w:val="Heading2"/>
        <w:spacing w:after="140" w:before="300"/>
      </w:pPr>
      <w:r>
        <w:rPr>
          <w:rFonts w:ascii="Arial" w:cs="Arial" w:eastAsia="Arial" w:hAnsi="Arial"/>
          <w:b/>
          <w:bCs/>
          <w:color w:val="8E2222"/>
          <w:sz w:val="23"/>
          <w:szCs w:val="23"/>
        </w:rPr>
        <w:t xml:space="preserve">4.2  Warum jetzt — drei Standbeine, nicht eines</w:t>
      </w:r>
    </w:p>
    <w:p>
      <w:pPr>
        <w:pStyle w:val="ListParagraph"/>
        <w:numPr>
          <w:ilvl w:val="0"/>
          <w:numId w:val="2"/>
        </w:numPr>
        <w:spacing w:after="130" w:line="300"/>
      </w:pPr>
      <w:r>
        <w:rPr>
          <w:rFonts w:ascii="Arial" w:cs="Arial" w:eastAsia="Arial" w:hAnsi="Arial"/>
          <w:b/>
          <w:bCs/>
          <w:color w:val="141414"/>
          <w:sz w:val="19"/>
          <w:szCs w:val="19"/>
        </w:rPr>
        <w:t xml:space="preserve">Die Regulierung erzwingt den Kontakt (der Türöffner).</w:t>
      </w:r>
      <w:r>
        <w:rPr>
          <w:rFonts w:ascii="Arial" w:cs="Arial" w:eastAsia="Arial" w:hAnsi="Arial"/>
          <w:color w:val="141414"/>
          <w:sz w:val="19"/>
          <w:szCs w:val="19"/>
        </w:rPr>
        <w:t xml:space="preserve"> E-Rechnungs-Empfang ist seit Januar 2025 Pflicht; das Ausstellen wird ab Januar 2027 für Betriebe über 800.000 € Vorjahresumsatz Pflicht, ab Januar 2028 für alle inländischen B2B-Umsätze. Die Pflicht selbst lässt sich mit einem 20-€-Konverter erfüllen — sie kauft keine Plattformen. Aber sie zwingt jeden Zielbetrieb, seinen Rechnungsprozess zu einem bekannten Datum zu öffnen. Der Kaufgrund sind der Zehn-Tage-Abschluss und die verlorenen Nachträge: Eine E-Rechnung aus einer falschen Excel-Menge ist eine formal korrekte falsche Rechnung.</w:t>
      </w:r>
    </w:p>
    <w:p>
      <w:pPr>
        <w:pStyle w:val="ListParagraph"/>
        <w:numPr>
          <w:ilvl w:val="0"/>
          <w:numId w:val="2"/>
        </w:numPr>
        <w:spacing w:after="130" w:line="300"/>
      </w:pPr>
      <w:r>
        <w:rPr>
          <w:rFonts w:ascii="Arial" w:cs="Arial" w:eastAsia="Arial" w:hAnsi="Arial"/>
          <w:b/>
          <w:bCs/>
          <w:color w:val="141414"/>
          <w:sz w:val="19"/>
          <w:szCs w:val="19"/>
        </w:rPr>
        <w:t xml:space="preserve">Der Margendruck macht das Leck akut.</w:t>
      </w:r>
      <w:r>
        <w:rPr>
          <w:rFonts w:ascii="Arial" w:cs="Arial" w:eastAsia="Arial" w:hAnsi="Arial"/>
          <w:color w:val="141414"/>
          <w:sz w:val="19"/>
          <w:szCs w:val="19"/>
        </w:rPr>
        <w:t xml:space="preserve"> Nach dem Abschwung 2023–2025 kann sich der Mittelstand Abrechnungsverluste nicht leisten; das DIW erwartet die Rückkehr realen Wachstums (+1,7 % 2026, +3,4 % 2027) — Erholungsvolumen auf gebrochenen Datenketten.</w:t>
      </w:r>
    </w:p>
    <w:p>
      <w:pPr>
        <w:pStyle w:val="ListParagraph"/>
        <w:numPr>
          <w:ilvl w:val="0"/>
          <w:numId w:val="2"/>
        </w:numPr>
        <w:spacing w:after="130" w:line="300"/>
      </w:pPr>
      <w:r>
        <w:rPr>
          <w:rFonts w:ascii="Arial" w:cs="Arial" w:eastAsia="Arial" w:hAnsi="Arial"/>
          <w:b/>
          <w:bCs/>
          <w:color w:val="141414"/>
          <w:sz w:val="19"/>
          <w:szCs w:val="19"/>
        </w:rPr>
        <w:t xml:space="preserve">Der Generationswechsel.</w:t>
      </w:r>
      <w:r>
        <w:rPr>
          <w:rFonts w:ascii="Arial" w:cs="Arial" w:eastAsia="Arial" w:hAnsi="Arial"/>
          <w:color w:val="141414"/>
          <w:sz w:val="19"/>
          <w:szCs w:val="19"/>
        </w:rPr>
        <w:t xml:space="preserve"> Die Nachfolge im Mittelstand bringt digital aufgewachsene Inhaber an die Spitze Excel-geführter Betriebe; die Cloud-Akzeptanz am Bau hat die Schwelle überschritten.</w:t>
      </w:r>
    </w:p>
    <w:p>
      <w:pPr>
        <w:spacing w:after="190" w:line="318"/>
      </w:pPr>
      <w:r>
        <w:rPr>
          <w:rFonts w:ascii="Arial" w:cs="Arial" w:eastAsia="Arial" w:hAnsi="Arial"/>
          <w:color w:val="141414"/>
          <w:sz w:val="19"/>
          <w:szCs w:val="19"/>
        </w:rPr>
        <w:t xml:space="preserve">Die Dauerpflichten — GoBD-Festschreibung, DSGVO — gelten unabhängig vom E-Rechnungs-Kalender; der Nachfragetreiber überlebt also auch eine Fristverschiebung.</w:t>
      </w:r>
    </w:p>
    <w:p>
      <w:pPr>
        <w:pStyle w:val="Heading2"/>
        <w:spacing w:after="140" w:before="300"/>
      </w:pPr>
      <w:r>
        <w:rPr>
          <w:rFonts w:ascii="Arial" w:cs="Arial" w:eastAsia="Arial" w:hAnsi="Arial"/>
          <w:b/>
          <w:bCs/>
          <w:color w:val="8E2222"/>
          <w:sz w:val="23"/>
          <w:szCs w:val="23"/>
        </w:rPr>
        <w:t xml:space="preserve">4.3  Der Souveränitäts-Moment — ein deutsches Werkzeug für eine deutsche Branche</w:t>
      </w:r>
    </w:p>
    <w:p>
      <w:pPr>
        <w:spacing w:after="190" w:line="318"/>
      </w:pPr>
      <w:r>
        <w:rPr>
          <w:rFonts w:ascii="Arial" w:cs="Arial" w:eastAsia="Arial" w:hAnsi="Arial"/>
          <w:color w:val="141414"/>
          <w:sz w:val="19"/>
          <w:szCs w:val="19"/>
        </w:rPr>
        <w:t xml:space="preserve">Eine vierte Kraft ist inzwischen messbar. Bitkom-Cloud-Report 2026 (603 befragte Unternehmen): </w:t>
      </w:r>
      <w:r>
        <w:rPr>
          <w:rFonts w:ascii="Arial" w:cs="Arial" w:eastAsia="Arial" w:hAnsi="Arial"/>
          <w:b/>
          <w:bCs/>
          <w:color w:val="141414"/>
          <w:sz w:val="19"/>
          <w:szCs w:val="19"/>
        </w:rPr>
        <w:t xml:space="preserve">85 % halten Deutschland für zu abhängig von US-Cloud-Anbietern</w:t>
      </w:r>
      <w:r>
        <w:rPr>
          <w:rFonts w:ascii="Arial" w:cs="Arial" w:eastAsia="Arial" w:hAnsi="Arial"/>
          <w:color w:val="141414"/>
          <w:sz w:val="19"/>
          <w:szCs w:val="19"/>
        </w:rPr>
        <w:t xml:space="preserve"> (2025: 78 %), </w:t>
      </w:r>
      <w:r>
        <w:rPr>
          <w:rFonts w:ascii="Arial" w:cs="Arial" w:eastAsia="Arial" w:hAnsi="Arial"/>
          <w:b/>
          <w:bCs/>
          <w:color w:val="141414"/>
          <w:sz w:val="19"/>
          <w:szCs w:val="19"/>
        </w:rPr>
        <w:t xml:space="preserve">91 % würden einen deutschen Cloud-Anbieter bevorzugen</w:t>
      </w:r>
      <w:r>
        <w:rPr>
          <w:rFonts w:ascii="Arial" w:cs="Arial" w:eastAsia="Arial" w:hAnsi="Arial"/>
          <w:color w:val="141414"/>
          <w:sz w:val="19"/>
          <w:szCs w:val="19"/>
        </w:rPr>
        <w:t xml:space="preserve">, 37 % würden dafür Abstriche in Kauf nehmen, 12 % sogar 10–20 % mehr bezahlen. Der Staat bewegt sich in dieselbe Richtung: Delos Cloud (SAP/Microsoft/Arvato) baut die souveräne Cloud für die deutsche Verwaltung, und die EU-Kommission hat 2025 ein Cloud-Sovereignty-Framework für die Beschaffung veröffentlicht.</w:t>
      </w:r>
    </w:p>
    <w:p>
      <w:pPr>
        <w:spacing w:after="190" w:line="318"/>
      </w:pPr>
      <w:r>
        <w:rPr>
          <w:rFonts w:ascii="Arial" w:cs="Arial" w:eastAsia="Arial" w:hAnsi="Arial"/>
          <w:color w:val="141414"/>
          <w:sz w:val="19"/>
          <w:szCs w:val="19"/>
        </w:rPr>
        <w:t xml:space="preserve">Das Baumanagement ist genau dieser Sorge ausgesetzt: Die globalen Führer der Kategorie sind amerikanisch. Procore verarbeitet Anwendungsdaten europäischer Kunden in Großbritannien (es gibt keine EU-Application-Zone; Kalkulationsdaten laufen über die USA), und Autodesks Deutschland-Datenresidenz (angekündigt Juni 2025) deckt nur einen Teil des Portfolios ab — Docs und BIM Collaborate, nicht die volle Construction-Cloud-Suite. Keine der beiden wirbt mit GAEB, VOB-Abrechnung, REB oder XRechnung; deutsche AVA/GAEB-Softwareverzeichnisse führen ausschließlich deutschsprachige Anbieter. Der Projektdatensatz eines deutschen Bauunternehmers — seine Preise, seine Margen, sein Prüfpfad — bleibt heute entweder in Excel oder überquert den Atlantik.</w:t>
      </w:r>
    </w:p>
    <w:p>
      <w:pPr>
        <w:spacing w:after="190" w:line="318"/>
      </w:pPr>
      <w:r>
        <w:rPr>
          <w:rFonts w:ascii="Arial" w:cs="Arial" w:eastAsia="Arial" w:hAnsi="Arial"/>
          <w:color w:val="141414"/>
          <w:sz w:val="19"/>
          <w:szCs w:val="19"/>
        </w:rPr>
        <w:t xml:space="preserve">BauLynqs Antwort ist strukturell, nicht rhetorisch: deutsches Fachmodell (GAEB · VOB · REB · GoBD im Kern, nicht als Partner-Plug-in), deutsches Hosting (Azure-EU-Datenzone, Deutschland), deutschsprachiger Support, transparente deutsche Preise — gegen Procores intransparente, an das Bauvolumen gekoppelte Verträge (Drittschätzungen: Einstieg ca. 10–15 T$ p. a., Mittelstand 30–80 T$ p. a.). Der Präzedenzfall ist erbracht: DATEV beherrscht die deutsche Steuersoftware gegen Intuit; Personio hat das europäische Mittelstands-HR gegen Workday und BambooHR gewonnen — beide, indem sie deutsche Compliance zum Produkt machten statt zum Feature. Nemetschek (1,19 Mrd. € Umsatz 2025) beweist, dass deutsche Bausoftware global skaliert. Die Reihenfolge ist dieselbe: </w:t>
      </w:r>
      <w:r>
        <w:rPr>
          <w:rFonts w:ascii="Arial" w:cs="Arial" w:eastAsia="Arial" w:hAnsi="Arial"/>
          <w:b/>
          <w:bCs/>
          <w:color w:val="141414"/>
          <w:sz w:val="19"/>
          <w:szCs w:val="19"/>
        </w:rPr>
        <w:t xml:space="preserve">von Deutschen, für Deutsche — dann für die Welt</w:t>
      </w:r>
      <w:r>
        <w:rPr>
          <w:rFonts w:ascii="Arial" w:cs="Arial" w:eastAsia="Arial" w:hAnsi="Arial"/>
          <w:color w:val="141414"/>
          <w:sz w:val="19"/>
          <w:szCs w:val="19"/>
        </w:rPr>
        <w:t xml:space="preserve">, beginnend mit DACH ab 2028.</w:t>
      </w:r>
    </w:p>
    <w:p>
      <w:pPr>
        <w:spacing w:after="70" w:before="420"/>
      </w:pPr>
      <w:r>
        <w:rPr>
          <w:rFonts w:ascii="Courier New" w:cs="Courier New" w:eastAsia="Courier New" w:hAnsi="Courier New"/>
          <w:color w:val="C9554D"/>
          <w:sz w:val="16"/>
          <w:szCs w:val="16"/>
        </w:rPr>
        <w:t xml:space="preserve">ABSCHNITT 05</w:t>
      </w:r>
    </w:p>
    <w:p>
      <w:pPr>
        <w:pStyle w:val="Heading1"/>
        <w:spacing w:after="90"/>
      </w:pPr>
      <w:r>
        <w:rPr>
          <w:rFonts w:ascii="Arial" w:cs="Arial" w:eastAsia="Arial" w:hAnsi="Arial"/>
          <w:b/>
          <w:bCs/>
          <w:color w:val="141414"/>
          <w:sz w:val="36"/>
          <w:szCs w:val="36"/>
        </w:rPr>
        <w:t xml:space="preserve">Lösung &amp; Produkt — ein durchgängiger Datensatz</w:t>
      </w:r>
    </w:p>
    <w:p>
      <w:pPr>
        <w:pBdr>
          <w:bottom w:val="single" w:color="8E2222" w:sz="8"/>
        </w:pBdr>
        <w:spacing w:after="230"/>
      </w:pPr>
      <w:r>
        <w:rPr>
          <w:rFonts w:ascii="Arial" w:cs="Arial" w:eastAsia="Arial" w:hAnsi="Arial"/>
          <w:i/>
          <w:iCs/>
          <w:color w:val="5A5A5A"/>
          <w:sz w:val="20"/>
          <w:szCs w:val="20"/>
        </w:rPr>
        <w:t xml:space="preserve">Das LV ist das Rückgrat: Jede Phase vertieft denselben Datensatz, statt ihn neu einzutippen.</w:t>
      </w:r>
    </w:p>
    <w:p>
      <w:pPr>
        <w:spacing w:after="190" w:line="318"/>
      </w:pPr>
      <w:r>
        <w:rPr>
          <w:rFonts w:ascii="Arial" w:cs="Arial" w:eastAsia="Arial" w:hAnsi="Arial"/>
          <w:color w:val="141414"/>
          <w:sz w:val="19"/>
          <w:szCs w:val="19"/>
        </w:rPr>
        <w:t xml:space="preserve">Das Ausschreibungs-LV wird zum Vertrags-LV; Aufmaße fließen direkt in die Abrechnung; Nachträge bleiben mit den Positionen verknüpft, die sie ändern. Alle Module docken an ein gemeinsames Fundament an: Projekte mit HOAI-Phasenlebenslauf, Baustellen, Beteiligte auf der AG/AN-Achse (die Berechtigungen und Workflows steuert), der LV-Baum mit OZ-Adressierung, Kostengruppen nach DIN 276 und gewerkespezifische ATV-Abrechnungsregeln.</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1928"/>
        <w:gridCol w:w="7712"/>
      </w:tblGrid>
      <w:tr>
        <w:trPr>
          <w:tblHeader/>
        </w:trPr>
        <w:tc>
          <w:tcPr>
            <w:tcW w:type="dxa" w:w="1928"/>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6"/>
                <w:szCs w:val="16"/>
              </w:rPr>
              <w:t xml:space="preserve">Modul</w:t>
            </w:r>
          </w:p>
        </w:tc>
        <w:tc>
          <w:tcPr>
            <w:tcW w:type="dxa" w:w="7712"/>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6"/>
                <w:szCs w:val="16"/>
              </w:rPr>
              <w:t xml:space="preserve">Umfang</w:t>
            </w:r>
          </w:p>
        </w:tc>
      </w:tr>
      <w:tr>
        <w:tc>
          <w:tcPr>
            <w:tcW w:type="dxa" w:w="192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b/>
                <w:bCs/>
                <w:color w:val="141414"/>
                <w:sz w:val="16"/>
                <w:szCs w:val="16"/>
              </w:rPr>
              <w:t xml:space="preserve">BidX</w:t>
            </w:r>
            <w:r>
              <w:rPr>
                <w:rFonts w:ascii="Arial" w:cs="Arial" w:eastAsia="Arial" w:hAnsi="Arial"/>
                <w:color w:val="141414"/>
                <w:sz w:val="16"/>
                <w:szCs w:val="16"/>
              </w:rPr>
              <w:t xml:space="preserve"> (Kernmodul)</w:t>
            </w:r>
          </w:p>
        </w:tc>
        <w:tc>
          <w:tcPr>
            <w:tcW w:type="dxa" w:w="7712"/>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Ausschreibung &amp; Vergabe — GAEB-Import X81–X86, LV-Kalkulation, Preisspiegel, Vergabe per Klick</w:t>
            </w:r>
          </w:p>
        </w:tc>
      </w:tr>
      <w:tr>
        <w:tc>
          <w:tcPr>
            <w:tcW w:type="dxa" w:w="192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b/>
                <w:bCs/>
                <w:color w:val="141414"/>
                <w:sz w:val="16"/>
                <w:szCs w:val="16"/>
              </w:rPr>
              <w:t xml:space="preserve">InrX</w:t>
            </w:r>
            <w:r>
              <w:rPr>
                <w:rFonts w:ascii="Arial" w:cs="Arial" w:eastAsia="Arial" w:hAnsi="Arial"/>
                <w:color w:val="141414"/>
                <w:sz w:val="16"/>
                <w:szCs w:val="16"/>
              </w:rPr>
              <w:t xml:space="preserve"> (Kernmodul)</w:t>
            </w:r>
          </w:p>
        </w:tc>
        <w:tc>
          <w:tcPr>
            <w:tcW w:type="dxa" w:w="7712"/>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Aufmaß &amp; VOB-Abrechnung — Abschläge, Nachträge, Sicherheitseinbehalt</w:t>
            </w:r>
          </w:p>
        </w:tc>
      </w:tr>
      <w:tr>
        <w:tc>
          <w:tcPr>
            <w:tcW w:type="dxa" w:w="192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FleetX</w:t>
            </w:r>
          </w:p>
        </w:tc>
        <w:tc>
          <w:tcPr>
            <w:tcW w:type="dxa" w:w="7712"/>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Maschinen — Geräte, Kraftstoff, Wartung, BGL, innerbetriebliche Verrechnung</w:t>
            </w:r>
          </w:p>
        </w:tc>
      </w:tr>
      <w:tr>
        <w:tc>
          <w:tcPr>
            <w:tcW w:type="dxa" w:w="192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CrewX</w:t>
            </w:r>
          </w:p>
        </w:tc>
        <w:tc>
          <w:tcPr>
            <w:tcW w:type="dxa" w:w="7712"/>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Mannschaft — Anwesenheit, Urlaub, Zeiterfassung, Lohnabrechnung</w:t>
            </w:r>
          </w:p>
        </w:tc>
      </w:tr>
      <w:tr>
        <w:tc>
          <w:tcPr>
            <w:tcW w:type="dxa" w:w="192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ReportsX</w:t>
            </w:r>
          </w:p>
        </w:tc>
        <w:tc>
          <w:tcPr>
            <w:tcW w:type="dxa" w:w="7712"/>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Berichte &amp; Exporte — Kennzahlen, E-Rechnung, Bautagebuch</w:t>
            </w:r>
          </w:p>
        </w:tc>
      </w:tr>
      <w:tr>
        <w:tc>
          <w:tcPr>
            <w:tcW w:type="dxa" w:w="192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SAM</w:t>
            </w:r>
          </w:p>
        </w:tc>
        <w:tc>
          <w:tcPr>
            <w:tcW w:type="dxa" w:w="7712"/>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Nachunternehmer — Verträge, Nachweise, Verifikation</w:t>
            </w:r>
          </w:p>
        </w:tc>
      </w:tr>
      <w:tr>
        <w:tc>
          <w:tcPr>
            <w:tcW w:type="dxa" w:w="192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PAM</w:t>
            </w:r>
          </w:p>
        </w:tc>
        <w:tc>
          <w:tcPr>
            <w:tcW w:type="dxa" w:w="7712"/>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Einkauf &amp; Material — Anforderungen, Bestellungen, Lager, Lieferanten</w:t>
            </w:r>
          </w:p>
        </w:tc>
      </w:tr>
      <w:tr>
        <w:tc>
          <w:tcPr>
            <w:tcW w:type="dxa" w:w="192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LEA</w:t>
            </w:r>
          </w:p>
        </w:tc>
        <w:tc>
          <w:tcPr>
            <w:tcW w:type="dxa" w:w="7712"/>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Zahlungspläne &amp; Fälligkeiten</w:t>
            </w:r>
          </w:p>
        </w:tc>
      </w:tr>
      <w:tr>
        <w:tc>
          <w:tcPr>
            <w:tcW w:type="dxa" w:w="192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Planning</w:t>
            </w:r>
          </w:p>
        </w:tc>
        <w:tc>
          <w:tcPr>
            <w:tcW w:type="dxa" w:w="7712"/>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Terminpläne &amp; Arbeitskalender</w:t>
            </w:r>
          </w:p>
        </w:tc>
      </w:tr>
      <w:tr>
        <w:tc>
          <w:tcPr>
            <w:tcW w:type="dxa" w:w="192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BIM</w:t>
            </w:r>
          </w:p>
        </w:tc>
        <w:tc>
          <w:tcPr>
            <w:tcW w:type="dxa" w:w="7712"/>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Modellverwaltung — Klassifizierung, LV-Zuordnung, Modellvergleich</w:t>
            </w:r>
          </w:p>
        </w:tc>
      </w:tr>
      <w:tr>
        <w:tc>
          <w:tcPr>
            <w:tcW w:type="dxa" w:w="192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Aufgaben</w:t>
            </w:r>
          </w:p>
        </w:tc>
        <w:tc>
          <w:tcPr>
            <w:tcW w:type="dxa" w:w="7712"/>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Übergreifende Aufgabenebene über alle Module</w:t>
            </w:r>
          </w:p>
        </w:tc>
      </w:tr>
    </w:tbl>
    <w:p>
      <w:pPr>
        <w:spacing w:after="160"/>
      </w:pPr>
    </w:p>
    <w:p>
      <w:pPr>
        <w:spacing w:after="190" w:line="318"/>
      </w:pPr>
      <w:r>
        <w:rPr>
          <w:rFonts w:ascii="Arial" w:cs="Arial" w:eastAsia="Arial" w:hAnsi="Arial"/>
          <w:b/>
          <w:bCs/>
          <w:color w:val="141414"/>
          <w:sz w:val="19"/>
          <w:szCs w:val="19"/>
        </w:rPr>
        <w:t xml:space="preserve">Compliance ist das Fundament, kein Zusatzmodul:</w:t>
      </w:r>
      <w:r>
        <w:rPr>
          <w:rFonts w:ascii="Arial" w:cs="Arial" w:eastAsia="Arial" w:hAnsi="Arial"/>
          <w:color w:val="141414"/>
          <w:sz w:val="19"/>
          <w:szCs w:val="19"/>
        </w:rPr>
        <w:t xml:space="preserve"> GAEB, VOB, DIN 276, HOAI und REB bestimmen die Fachlogik; XRechnung, GoBD-Festschreibung und DSGVO bestimmen die Aufzeichnungen. Hosting auf Azure in der EU-Datenzone, in Deutschland. KI-gestützte Funktionen tragen eine „KI-generiert“-Kennzeichnung gemäß Art. 50 der EU-KI-Verordnung (anwendbar ab 2. August 2026).</w:t>
      </w:r>
    </w:p>
    <w:p>
      <w:pPr>
        <w:pStyle w:val="Heading2"/>
        <w:spacing w:after="140" w:before="300"/>
      </w:pPr>
      <w:r>
        <w:rPr>
          <w:rFonts w:ascii="Arial" w:cs="Arial" w:eastAsia="Arial" w:hAnsi="Arial"/>
          <w:b/>
          <w:bCs/>
          <w:color w:val="8E2222"/>
          <w:sz w:val="23"/>
          <w:szCs w:val="23"/>
        </w:rPr>
        <w:t xml:space="preserve">5.1  Produkt-Roadmap nach der Finanzierung (18 Monate)</w:t>
      </w:r>
    </w:p>
    <w:p>
      <w:pPr>
        <w:pStyle w:val="ListParagraph"/>
        <w:numPr>
          <w:ilvl w:val="0"/>
          <w:numId w:val="2"/>
        </w:numPr>
        <w:spacing w:after="130" w:line="300"/>
      </w:pPr>
      <w:r>
        <w:rPr>
          <w:rFonts w:ascii="Arial" w:cs="Arial" w:eastAsia="Arial" w:hAnsi="Arial"/>
          <w:b/>
          <w:bCs/>
          <w:color w:val="141414"/>
          <w:sz w:val="19"/>
          <w:szCs w:val="19"/>
        </w:rPr>
        <w:t xml:space="preserve">DATEV-Export &amp; Buchhaltungsanbindung</w:t>
      </w:r>
      <w:r>
        <w:rPr>
          <w:rFonts w:ascii="Arial" w:cs="Arial" w:eastAsia="Arial" w:hAnsi="Arial"/>
          <w:color w:val="141414"/>
          <w:sz w:val="19"/>
          <w:szCs w:val="19"/>
        </w:rPr>
        <w:t xml:space="preserve"> — Grundvoraussetzung für die Steuerberater des Mittelstands; erster Roadmap-Punkt nach dem Closing.</w:t>
      </w:r>
    </w:p>
    <w:p>
      <w:pPr>
        <w:pStyle w:val="ListParagraph"/>
        <w:numPr>
          <w:ilvl w:val="0"/>
          <w:numId w:val="2"/>
        </w:numPr>
        <w:spacing w:after="130" w:line="300"/>
      </w:pPr>
      <w:r>
        <w:rPr>
          <w:rFonts w:ascii="Arial" w:cs="Arial" w:eastAsia="Arial" w:hAnsi="Arial"/>
          <w:b/>
          <w:bCs/>
          <w:color w:val="141414"/>
          <w:sz w:val="19"/>
          <w:szCs w:val="19"/>
        </w:rPr>
        <w:t xml:space="preserve">E-Rechnungs-Übertragungswege</w:t>
      </w:r>
      <w:r>
        <w:rPr>
          <w:rFonts w:ascii="Arial" w:cs="Arial" w:eastAsia="Arial" w:hAnsi="Arial"/>
          <w:color w:val="141414"/>
          <w:sz w:val="19"/>
          <w:szCs w:val="19"/>
        </w:rPr>
        <w:t xml:space="preserve"> (Peppol, E-Mail-Routing) über die reine Formaterzeugung hinaus.</w:t>
      </w:r>
    </w:p>
    <w:p>
      <w:pPr>
        <w:pStyle w:val="ListParagraph"/>
        <w:numPr>
          <w:ilvl w:val="0"/>
          <w:numId w:val="2"/>
        </w:numPr>
        <w:spacing w:after="130" w:line="300"/>
      </w:pPr>
      <w:r>
        <w:rPr>
          <w:rFonts w:ascii="Arial" w:cs="Arial" w:eastAsia="Arial" w:hAnsi="Arial"/>
          <w:b/>
          <w:bCs/>
          <w:color w:val="141414"/>
          <w:sz w:val="19"/>
          <w:szCs w:val="19"/>
        </w:rPr>
        <w:t xml:space="preserve">Mobile-/Offline-Erfassung auf der Baustelle</w:t>
      </w:r>
      <w:r>
        <w:rPr>
          <w:rFonts w:ascii="Arial" w:cs="Arial" w:eastAsia="Arial" w:hAnsi="Arial"/>
          <w:color w:val="141414"/>
          <w:sz w:val="19"/>
          <w:szCs w:val="19"/>
        </w:rPr>
        <w:t xml:space="preserve"> — Baustellen haben unzuverlässige Netzabdeckung.</w:t>
      </w:r>
    </w:p>
    <w:p>
      <w:pPr>
        <w:pStyle w:val="ListParagraph"/>
        <w:numPr>
          <w:ilvl w:val="0"/>
          <w:numId w:val="2"/>
        </w:numPr>
        <w:spacing w:after="130" w:line="300"/>
      </w:pPr>
      <w:r>
        <w:rPr>
          <w:rFonts w:ascii="Arial" w:cs="Arial" w:eastAsia="Arial" w:hAnsi="Arial"/>
          <w:b/>
          <w:bCs/>
          <w:color w:val="141414"/>
          <w:sz w:val="19"/>
          <w:szCs w:val="19"/>
        </w:rPr>
        <w:t xml:space="preserve">Offene API-Schicht</w:t>
      </w:r>
      <w:r>
        <w:rPr>
          <w:rFonts w:ascii="Arial" w:cs="Arial" w:eastAsia="Arial" w:hAnsi="Arial"/>
          <w:color w:val="141414"/>
          <w:sz w:val="19"/>
          <w:szCs w:val="19"/>
        </w:rPr>
        <w:t xml:space="preserve"> für ERP-/Buchhaltungs-Interoperabilität; anschließend Enterprise-Funktionen (SSO, On-Premise).</w:t>
      </w:r>
    </w:p>
    <w:p>
      <w:pPr>
        <w:spacing w:after="70" w:before="420"/>
      </w:pPr>
      <w:r>
        <w:rPr>
          <w:rFonts w:ascii="Courier New" w:cs="Courier New" w:eastAsia="Courier New" w:hAnsi="Courier New"/>
          <w:color w:val="C9554D"/>
          <w:sz w:val="16"/>
          <w:szCs w:val="16"/>
        </w:rPr>
        <w:t xml:space="preserve">ABSCHNITT 06</w:t>
      </w:r>
    </w:p>
    <w:p>
      <w:pPr>
        <w:pStyle w:val="Heading1"/>
        <w:spacing w:after="90"/>
      </w:pPr>
      <w:r>
        <w:rPr>
          <w:rFonts w:ascii="Arial" w:cs="Arial" w:eastAsia="Arial" w:hAnsi="Arial"/>
          <w:b/>
          <w:bCs/>
          <w:color w:val="141414"/>
          <w:sz w:val="36"/>
          <w:szCs w:val="36"/>
        </w:rPr>
        <w:t xml:space="preserve">Wettbewerb</w:t>
      </w:r>
    </w:p>
    <w:p>
      <w:pPr>
        <w:pBdr>
          <w:bottom w:val="single" w:color="8E2222" w:sz="8"/>
        </w:pBdr>
        <w:spacing w:after="230"/>
      </w:pPr>
      <w:r>
        <w:rPr>
          <w:rFonts w:ascii="Arial" w:cs="Arial" w:eastAsia="Arial" w:hAnsi="Arial"/>
          <w:i/>
          <w:iCs/>
          <w:color w:val="5A5A5A"/>
          <w:sz w:val="20"/>
          <w:szCs w:val="20"/>
        </w:rPr>
        <w:t xml:space="preserve">US-Plattformen führen die Kategorie, aber nicht den deutschen Stack; der souveräne durchgängige Datensatz in der Mitte ist frei.</w:t>
      </w:r>
    </w:p>
    <w:p>
      <w:pPr>
        <w:spacing w:after="220" w:before="80"/>
        <w:jc w:val="center"/>
      </w:pPr>
      <w:r>
        <w:drawing>
          <wp:inline distT="0" distB="0" distL="0" distR="0">
            <wp:extent cx="5905500" cy="3810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905500" cy="3810000"/>
                    </a:xfrm>
                    <a:prstGeom prst="rect">
                      <a:avLst/>
                    </a:prstGeom>
                  </pic:spPr>
                </pic:pic>
              </a:graphicData>
            </a:graphic>
          </wp:inline>
        </w:drawing>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1157"/>
        <w:gridCol w:w="2699"/>
        <w:gridCol w:w="1639"/>
        <w:gridCol w:w="4145"/>
      </w:tblGrid>
      <w:tr>
        <w:trPr>
          <w:tblHeader/>
        </w:trPr>
        <w:tc>
          <w:tcPr>
            <w:tcW w:type="dxa" w:w="1157"/>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5"/>
                <w:szCs w:val="15"/>
              </w:rPr>
              <w:t xml:space="preserve">Gruppe</w:t>
            </w:r>
          </w:p>
        </w:tc>
        <w:tc>
          <w:tcPr>
            <w:tcW w:type="dxa" w:w="2699"/>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5"/>
                <w:szCs w:val="15"/>
              </w:rPr>
              <w:t xml:space="preserve">Anbieter</w:t>
            </w:r>
          </w:p>
        </w:tc>
        <w:tc>
          <w:tcPr>
            <w:tcW w:type="dxa" w:w="1639"/>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5"/>
                <w:szCs w:val="15"/>
              </w:rPr>
              <w:t xml:space="preserve">Stärke</w:t>
            </w:r>
          </w:p>
        </w:tc>
        <w:tc>
          <w:tcPr>
            <w:tcW w:type="dxa" w:w="4145"/>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5"/>
                <w:szCs w:val="15"/>
              </w:rPr>
              <w:t xml:space="preserve">Warum die Mitte frei bleibt</w:t>
            </w:r>
          </w:p>
        </w:tc>
      </w:tr>
      <w:tr>
        <w:tc>
          <w:tcPr>
            <w:tcW w:type="dxa" w:w="1157"/>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5"/>
                <w:szCs w:val="15"/>
              </w:rPr>
              <w:t xml:space="preserve">US-Plattformen</w:t>
            </w:r>
          </w:p>
        </w:tc>
        <w:tc>
          <w:tcPr>
            <w:tcW w:type="dxa" w:w="269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5"/>
                <w:szCs w:val="15"/>
              </w:rPr>
              <w:t xml:space="preserve">Procore (1,32 Mrd. $ Umsatz 2025, 17.850 Kunden) · Autodesk Construction Cloud (AECO-Segment 3,58 Mrd. $)</w:t>
            </w:r>
          </w:p>
        </w:tc>
        <w:tc>
          <w:tcPr>
            <w:tcW w:type="dxa" w:w="163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5"/>
                <w:szCs w:val="15"/>
              </w:rPr>
              <w:t xml:space="preserve">Kategorie-definierende Breite, Kapital, Marke</w:t>
            </w:r>
          </w:p>
        </w:tc>
        <w:tc>
          <w:tcPr>
            <w:tcW w:type="dxa" w:w="414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5"/>
                <w:szCs w:val="15"/>
              </w:rPr>
              <w:t xml:space="preserve">Keine wirbt mit nativem GAEB / VOB-Abrechnung / REB / XRechnung; Procore ohne EU-Application-Zone; ACCs Deutschland-Residenz deckt nur einen Teil der Suite ab. Preise an das Bauvolumen gekoppelt — Schätzungen 10–80 T$ p. a., intransparent. Procores Deutschland-Start (Nov. 2022) ohne ausgewiesene deutsche Kundenbasis.</w:t>
            </w:r>
          </w:p>
        </w:tc>
      </w:tr>
      <w:tr>
        <w:tc>
          <w:tcPr>
            <w:tcW w:type="dxa" w:w="1157"/>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5"/>
                <w:szCs w:val="15"/>
              </w:rPr>
              <w:t xml:space="preserve">Deutsche Bau-ERP</w:t>
            </w:r>
          </w:p>
        </w:tc>
        <w:tc>
          <w:tcPr>
            <w:tcW w:type="dxa" w:w="269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5"/>
                <w:szCs w:val="15"/>
              </w:rPr>
              <w:t xml:space="preserve">BRZ (seit März 2025 Infoniqa) · NEVARIS (Nemetschek) · RIB iTWO (Schneider Electric)</w:t>
            </w:r>
          </w:p>
        </w:tc>
        <w:tc>
          <w:tcPr>
            <w:tcW w:type="dxa" w:w="163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5"/>
                <w:szCs w:val="15"/>
              </w:rPr>
              <w:t xml:space="preserve">Beherrschen deutsches Baurecht; etabliert</w:t>
            </w:r>
          </w:p>
        </w:tc>
        <w:tc>
          <w:tcPr>
            <w:tcW w:type="dxa" w:w="414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5"/>
                <w:szCs w:val="15"/>
              </w:rPr>
              <w:t xml:space="preserve">Ihr Erlösmodell ist das Einführungsprojekt — Lizenzen mit angeschlossenen Dienstleistungen, bezahlt in Projekttagen. Ein 21-Tage-Produkt kannibalisiert diese Ökonomie; keines der drei Häuser ist noch unabhängig.</w:t>
            </w:r>
          </w:p>
        </w:tc>
      </w:tr>
      <w:tr>
        <w:tc>
          <w:tcPr>
            <w:tcW w:type="dxa" w:w="1157"/>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5"/>
                <w:szCs w:val="15"/>
              </w:rPr>
              <w:t xml:space="preserve">Ausschnitt-Spezialisten</w:t>
            </w:r>
          </w:p>
        </w:tc>
        <w:tc>
          <w:tcPr>
            <w:tcW w:type="dxa" w:w="269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5"/>
                <w:szCs w:val="15"/>
              </w:rPr>
              <w:t xml:space="preserve">Cosuno (GAEB-Ausschreibung, ~45 Mio. €) · PlanRadar (AT) · Capmo · 123erfasst (Nemetschek)</w:t>
            </w:r>
          </w:p>
        </w:tc>
        <w:tc>
          <w:tcPr>
            <w:tcW w:type="dxa" w:w="163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5"/>
                <w:szCs w:val="15"/>
              </w:rPr>
              <w:t xml:space="preserve">Schnell im eigenen Ausschnitt; Cosuno ist die nächste direkte Überschneidung</w:t>
            </w:r>
          </w:p>
        </w:tc>
        <w:tc>
          <w:tcPr>
            <w:tcW w:type="dxa" w:w="414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5"/>
                <w:szCs w:val="15"/>
              </w:rPr>
              <w:t xml:space="preserve">Jeder digitalisiert eine Phase und schafft eine neue Dateninsel; keiner trägt den Datensatz von der Ausschreibung über die VOB-Abrechnung bis ins GoBD-Archiv. Cosuno endet bei der Vergabe — genau dort, wo das Margenleck beginnt.</w:t>
            </w:r>
          </w:p>
        </w:tc>
      </w:tr>
      <w:tr>
        <w:tc>
          <w:tcPr>
            <w:tcW w:type="dxa" w:w="1157"/>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5"/>
                <w:szCs w:val="15"/>
              </w:rPr>
              <w:t xml:space="preserve">Status quo</w:t>
            </w:r>
          </w:p>
        </w:tc>
        <w:tc>
          <w:tcPr>
            <w:tcW w:type="dxa" w:w="269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5"/>
                <w:szCs w:val="15"/>
              </w:rPr>
              <w:t xml:space="preserve">Excel + günstiger E-Rechnungs-Konverter</w:t>
            </w:r>
          </w:p>
        </w:tc>
        <w:tc>
          <w:tcPr>
            <w:tcW w:type="dxa" w:w="163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5"/>
                <w:szCs w:val="15"/>
              </w:rPr>
              <w:t xml:space="preserve">Kostenlos, vertraut — der eigentliche Wettbewerber in den meisten Fällen</w:t>
            </w:r>
          </w:p>
        </w:tc>
        <w:tc>
          <w:tcPr>
            <w:tcW w:type="dxa" w:w="414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5"/>
                <w:szCs w:val="15"/>
              </w:rPr>
              <w:t xml:space="preserve">Erfüllt die Pflicht, aber nicht den Monatsabschluss; jede formal korrekte falsche Rechnung hält das Margenleck offen.</w:t>
            </w:r>
          </w:p>
        </w:tc>
      </w:tr>
    </w:tbl>
    <w:p>
      <w:pPr>
        <w:spacing w:after="160"/>
      </w:pPr>
    </w:p>
    <w:p>
      <w:pPr>
        <w:spacing w:after="190" w:line="318"/>
      </w:pPr>
      <w:r>
        <w:rPr>
          <w:rFonts w:ascii="Arial" w:cs="Arial" w:eastAsia="Arial" w:hAnsi="Arial"/>
          <w:color w:val="141414"/>
          <w:sz w:val="19"/>
          <w:szCs w:val="19"/>
        </w:rPr>
        <w:t xml:space="preserve">Benachbart, nicht konkurrierend: plancraft (Hamburg, über 50 Mio. € eingesammelt) ist Bürosoftware für kleine Handwerksbetriebe — Angebote und Rechnungen für Firmen mit meist unter 20 Beschäftigten. Anderer Käufer, anderer Workflow; die Finanzierung belegt den Kapitalappetit im deutschen ConTech, bedroht aber nicht das Segment der Generalunternehmer mit 50–500 Beschäftigten. Craftnote (HVD Group) sitzt im selben Handwerkssegment.</w:t>
      </w:r>
    </w:p>
    <w:p>
      <w:pPr>
        <w:spacing w:after="190" w:line="318"/>
      </w:pPr>
      <w:r>
        <w:rPr>
          <w:rFonts w:ascii="Arial" w:cs="Arial" w:eastAsia="Arial" w:hAnsi="Arial"/>
          <w:color w:val="141414"/>
          <w:sz w:val="19"/>
          <w:szCs w:val="19"/>
        </w:rPr>
        <w:t xml:space="preserve">Der naheliegenden Frage vorgegriffen: Ja, Deutschland hat bereits Bausoftware-Champions — Nemetschek (1,19 Mrd. € Umsatz) und RIB belegen den Markt. Aber sie verkaufen Planungswerkzeuge, Kalkulations-ERPs und Einführungsprojekte; keiner bietet einen durchgängigen Cloud-Datensatz von der Ausschreibung bis ins GoBD-Archiv zu Mittelstandspreisen. Ehrliche Einordnung: Die Mitte bleibt frei, solange US-Plattformen das Fachmodell fehlt, ERPs ihr Dienstleistungsgeschäft schützen und Ausschnitt-Anbieter erst verbreitern müssen — ein Zeitfenster von geschätzt rund 24 Monaten. BauLynqs Aufgabe ist, es in Referenzkunden zu verwandeln, bevor es sich schließt.</w:t>
      </w:r>
    </w:p>
    <w:p>
      <w:pPr>
        <w:spacing w:after="70" w:before="420"/>
      </w:pPr>
      <w:r>
        <w:rPr>
          <w:rFonts w:ascii="Courier New" w:cs="Courier New" w:eastAsia="Courier New" w:hAnsi="Courier New"/>
          <w:color w:val="C9554D"/>
          <w:sz w:val="16"/>
          <w:szCs w:val="16"/>
        </w:rPr>
        <w:t xml:space="preserve">ABSCHNITT 07</w:t>
      </w:r>
    </w:p>
    <w:p>
      <w:pPr>
        <w:pStyle w:val="Heading1"/>
        <w:spacing w:after="90"/>
      </w:pPr>
      <w:r>
        <w:rPr>
          <w:rFonts w:ascii="Arial" w:cs="Arial" w:eastAsia="Arial" w:hAnsi="Arial"/>
          <w:b/>
          <w:bCs/>
          <w:color w:val="141414"/>
          <w:sz w:val="36"/>
          <w:szCs w:val="36"/>
        </w:rPr>
        <w:t xml:space="preserve">Vertrieb &amp; Pilotphase</w:t>
      </w:r>
    </w:p>
    <w:p>
      <w:pPr>
        <w:pBdr>
          <w:bottom w:val="single" w:color="8E2222" w:sz="8"/>
        </w:pBdr>
        <w:spacing w:after="230"/>
      </w:pPr>
      <w:r>
        <w:rPr>
          <w:rFonts w:ascii="Arial" w:cs="Arial" w:eastAsia="Arial" w:hAnsi="Arial"/>
          <w:i/>
          <w:iCs/>
          <w:color w:val="5A5A5A"/>
          <w:sz w:val="20"/>
          <w:szCs w:val="20"/>
        </w:rPr>
        <w:t xml:space="preserve">In 21 Tagen mit einem Modul landen, zur Plattform ausbauen — die Funnel-Rechnung steht im Plan, nicht zwischen den Zeilen.</w:t>
      </w:r>
    </w:p>
    <w:p>
      <w:pPr>
        <w:pStyle w:val="Heading2"/>
        <w:spacing w:after="140" w:before="300"/>
      </w:pPr>
      <w:r>
        <w:rPr>
          <w:rFonts w:ascii="Arial" w:cs="Arial" w:eastAsia="Arial" w:hAnsi="Arial"/>
          <w:b/>
          <w:bCs/>
          <w:color w:val="8E2222"/>
          <w:sz w:val="23"/>
          <w:szCs w:val="23"/>
        </w:rPr>
        <w:t xml:space="preserve">7.1  Der Funnel (eingeschwungener Zustand 2027)</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4820"/>
        <w:gridCol w:w="2121"/>
        <w:gridCol w:w="2699"/>
      </w:tblGrid>
      <w:tr>
        <w:trPr>
          <w:tblHeader/>
        </w:trPr>
        <w:tc>
          <w:tcPr>
            <w:tcW w:type="dxa" w:w="4820"/>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Stufe</w:t>
            </w:r>
          </w:p>
        </w:tc>
        <w:tc>
          <w:tcPr>
            <w:tcW w:type="dxa" w:w="2121"/>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Annahme</w:t>
            </w:r>
          </w:p>
        </w:tc>
        <w:tc>
          <w:tcPr>
            <w:tcW w:type="dxa" w:w="2699"/>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Ergebnis je Monat</w:t>
            </w:r>
          </w:p>
        </w:tc>
      </w:tr>
      <w:tr>
        <w:tc>
          <w:tcPr>
            <w:tcW w:type="dxa" w:w="4820"/>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Qualifizierte Leads (Gründernetzwerk, Pilotempfehlungen, Inbound)</w:t>
            </w:r>
          </w:p>
        </w:tc>
        <w:tc>
          <w:tcPr>
            <w:tcW w:type="dxa" w:w="2121"/>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40 / Monat</w:t>
            </w:r>
          </w:p>
        </w:tc>
        <w:tc>
          <w:tcPr>
            <w:tcW w:type="dxa" w:w="269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40</w:t>
            </w:r>
          </w:p>
        </w:tc>
      </w:tr>
      <w:tr>
        <w:tc>
          <w:tcPr>
            <w:tcW w:type="dxa" w:w="4820"/>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Lead → Demo („30 Minuten, ein Arbeitsgespräch“)</w:t>
            </w:r>
          </w:p>
        </w:tc>
        <w:tc>
          <w:tcPr>
            <w:tcW w:type="dxa" w:w="2121"/>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30 %</w:t>
            </w:r>
          </w:p>
        </w:tc>
        <w:tc>
          <w:tcPr>
            <w:tcW w:type="dxa" w:w="269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12 Demos</w:t>
            </w:r>
          </w:p>
        </w:tc>
      </w:tr>
      <w:tr>
        <w:tc>
          <w:tcPr>
            <w:tcW w:type="dxa" w:w="4820"/>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Demo → Abschluss (pilotgeführt, ~3-Monats-Zyklus)</w:t>
            </w:r>
          </w:p>
        </w:tc>
        <w:tc>
          <w:tcPr>
            <w:tcW w:type="dxa" w:w="2121"/>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25 %</w:t>
            </w:r>
          </w:p>
        </w:tc>
        <w:tc>
          <w:tcPr>
            <w:tcW w:type="dxa" w:w="269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3,0 Abschlüsse</w:t>
            </w:r>
          </w:p>
        </w:tc>
      </w:tr>
      <w:tr>
        <w:tc>
          <w:tcPr>
            <w:tcW w:type="dxa" w:w="4820"/>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Im Modell tatsächlich angesetzter Planwert</w:t>
            </w:r>
          </w:p>
        </w:tc>
        <w:tc>
          <w:tcPr>
            <w:tcW w:type="dxa" w:w="2121"/>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w:t>
            </w:r>
          </w:p>
        </w:tc>
        <w:tc>
          <w:tcPr>
            <w:tcW w:type="dxa" w:w="269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2,5 / Monat (Anlaufreserve für Vertrieb #1)</w:t>
            </w:r>
          </w:p>
        </w:tc>
      </w:tr>
    </w:tbl>
    <w:p>
      <w:pPr>
        <w:spacing w:after="160"/>
      </w:pPr>
    </w:p>
    <w:p>
      <w:pPr>
        <w:spacing w:after="190" w:line="318"/>
      </w:pPr>
      <w:r>
        <w:rPr>
          <w:rFonts w:ascii="Arial" w:cs="Arial" w:eastAsia="Arial" w:hAnsi="Arial"/>
          <w:color w:val="141414"/>
          <w:sz w:val="19"/>
          <w:szCs w:val="19"/>
        </w:rPr>
        <w:t xml:space="preserve">Vertriebsansatz: direkt, demo-zuerst, auf den eigenen Projektdaten des Interessenten. Gelandet wird mit einem Modul (Starter, 490 €/Monat) — meist BidX oder InrX, wo der Schmerz am größten ist — und ausgebaut zur vollen Plattform (Professional, 1.490 €/Monat), sobald angrenzende Phasen an den Datensatz andocken. Der Ausbau ist explizit modelliert: Im Basisszenario wechselt 1 % des Starter-Bestands pro Monat auf Professional — getrieben von einem Pfad im Produkt, nicht von Hoffnung. Partnerkanäle (Steuer- und Baurechtsberater) sind eine Option ab 2027, sobald Referenzen existieren.</w:t>
      </w:r>
    </w:p>
    <w:p>
      <w:pPr>
        <w:pStyle w:val="Heading2"/>
        <w:spacing w:after="140" w:before="300"/>
      </w:pPr>
      <w:r>
        <w:rPr>
          <w:rFonts w:ascii="Arial" w:cs="Arial" w:eastAsia="Arial" w:hAnsi="Arial"/>
          <w:b/>
          <w:bCs/>
          <w:color w:val="8E2222"/>
          <w:sz w:val="23"/>
          <w:szCs w:val="23"/>
        </w:rPr>
        <w:t xml:space="preserve">7.2  Pilotkohorte H2 2026 — das Design</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2892"/>
        <w:gridCol w:w="6748"/>
      </w:tblGrid>
      <w:tr>
        <w:trPr>
          <w:tblHeader/>
        </w:trPr>
        <w:tc>
          <w:tcPr>
            <w:tcW w:type="dxa" w:w="2892"/>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Parameter</w:t>
            </w:r>
          </w:p>
        </w:tc>
        <w:tc>
          <w:tcPr>
            <w:tcW w:type="dxa" w:w="6748"/>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Wert</w:t>
            </w:r>
          </w:p>
        </w:tc>
      </w:tr>
      <w:tr>
        <w:tc>
          <w:tcPr>
            <w:tcW w:type="dxa" w:w="2892"/>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Kohortengröße</w:t>
            </w:r>
          </w:p>
        </w:tc>
        <w:tc>
          <w:tcPr>
            <w:tcW w:type="dxa" w:w="674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8 Betriebe (2 im Juli, Aufwuchs auf 8 bis November 2026)</w:t>
            </w:r>
          </w:p>
        </w:tc>
      </w:tr>
      <w:tr>
        <w:tc>
          <w:tcPr>
            <w:tcW w:type="dxa" w:w="2892"/>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Auswahl</w:t>
            </w:r>
          </w:p>
        </w:tc>
        <w:tc>
          <w:tcPr>
            <w:tcW w:type="dxa" w:w="674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Mittelständische GU und Bauträger mit laufenden Projekten und Excel-Abrechnung; gemischte Gewerke</w:t>
            </w:r>
          </w:p>
        </w:tc>
      </w:tr>
      <w:tr>
        <w:tc>
          <w:tcPr>
            <w:tcW w:type="dxa" w:w="2892"/>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Konditionen</w:t>
            </w:r>
          </w:p>
        </w:tc>
        <w:tc>
          <w:tcPr>
            <w:tcW w:type="dxa" w:w="674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250 €/Monat Pilotgebühr; enge Begleitung; Übergang in den Vollbetrieb für einmalig 1.000 €</w:t>
            </w:r>
          </w:p>
        </w:tc>
      </w:tr>
      <w:tr>
        <w:tc>
          <w:tcPr>
            <w:tcW w:type="dxa" w:w="2892"/>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Erfolgskriterien je Pilot</w:t>
            </w:r>
          </w:p>
        </w:tc>
        <w:tc>
          <w:tcPr>
            <w:tcW w:type="dxa" w:w="674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Go-live des ersten Moduls ≤ 21 Tage · ein vollständiger Abrechnungszyklus auf der Plattform · Referenzvereinbarung</w:t>
            </w:r>
          </w:p>
        </w:tc>
      </w:tr>
      <w:tr>
        <w:tc>
          <w:tcPr>
            <w:tcW w:type="dxa" w:w="2892"/>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Ziel-Konversion</w:t>
            </w:r>
          </w:p>
        </w:tc>
        <w:tc>
          <w:tcPr>
            <w:tcW w:type="dxa" w:w="674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75 % zu zahlenden Kunden im Januar 2027 (Basisszenario)</w:t>
            </w:r>
          </w:p>
        </w:tc>
      </w:tr>
    </w:tbl>
    <w:p>
      <w:pPr>
        <w:spacing w:after="160"/>
      </w:pP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9640"/>
      </w:tblGrid>
      <w:tr>
        <w:tc>
          <w:tcPr>
            <w:tcW w:type="dxa" w:w="9640"/>
            <w:tcBorders>
              <w:top w:val="single" w:color="8E2222" w:sz="6"/>
              <w:left w:val="single" w:color="8E2222" w:sz="6"/>
              <w:bottom w:val="single" w:color="8E2222" w:sz="6"/>
              <w:right w:val="single" w:color="8E2222" w:sz="6"/>
            </w:tcBorders>
            <w:shd w:fill="FBF8F8" w:val="clear"/>
            <w:tcMar>
              <w:top w:type="dxa" w:w="160"/>
              <w:left w:type="dxa" w:w="200"/>
              <w:bottom w:type="dxa" w:w="160"/>
              <w:right w:type="dxa" w:w="200"/>
            </w:tcMar>
          </w:tcPr>
          <w:p>
            <w:pPr>
              <w:spacing w:after="90"/>
            </w:pPr>
            <w:r>
              <w:rPr>
                <w:rFonts w:ascii="Arial" w:cs="Arial" w:eastAsia="Arial" w:hAnsi="Arial"/>
                <w:b/>
                <w:bCs/>
                <w:color w:val="8E2222"/>
                <w:sz w:val="21"/>
                <w:szCs w:val="21"/>
              </w:rPr>
              <w:t xml:space="preserve">Die 21 Tage bis zum Go-live — präzise abgegrenzt</w:t>
            </w:r>
          </w:p>
          <w:p>
            <w:pPr>
              <w:spacing w:line="300"/>
            </w:pPr>
            <w:r>
              <w:rPr>
                <w:rFonts w:ascii="Arial" w:cs="Arial" w:eastAsia="Arial" w:hAnsi="Arial"/>
                <w:color w:val="141414"/>
                <w:sz w:val="19"/>
                <w:szCs w:val="19"/>
              </w:rPr>
              <w:t xml:space="preserve">Tage 1–5: Datenübernahme (GAEB-Import der laufenden LVs, Stammdaten). Tage 6–10: Schulung auf dem ersten Modul. Tage 11–21: erster Echt-Abrechnungslauf parallel zum Altprozess. Umfang: </w:t>
            </w:r>
            <w:r>
              <w:rPr>
                <w:rFonts w:ascii="Arial" w:cs="Arial" w:eastAsia="Arial" w:hAnsi="Arial"/>
                <w:b/>
                <w:bCs/>
                <w:color w:val="141414"/>
                <w:sz w:val="19"/>
                <w:szCs w:val="19"/>
              </w:rPr>
              <w:t xml:space="preserve">erstes produktives Modul (BidX oder InrX) auf einem laufenden Projekt</w:t>
            </w:r>
            <w:r>
              <w:rPr>
                <w:rFonts w:ascii="Arial" w:cs="Arial" w:eastAsia="Arial" w:hAnsi="Arial"/>
                <w:color w:val="141414"/>
                <w:sz w:val="19"/>
                <w:szCs w:val="19"/>
              </w:rPr>
              <w:t xml:space="preserve"> — kein Komplett-Rollout. Die Lohnabrechnung (CrewX) liegt ausdrücklich außerhalb der 21 Tage; der Vollausbau dauert 3–6 Monate entlang des Ausbaupfads. Die Pilotkohorte existiert, um diese Zahl zu belegen, bevor sie zur Überschrift wird.</w:t>
            </w:r>
          </w:p>
        </w:tc>
      </w:tr>
    </w:tbl>
    <w:p>
      <w:pPr>
        <w:spacing w:after="200"/>
      </w:pPr>
    </w:p>
    <w:p>
      <w:pPr>
        <w:spacing w:after="190" w:line="318"/>
      </w:pPr>
      <w:r>
        <w:rPr>
          <w:rFonts w:ascii="Arial" w:cs="Arial" w:eastAsia="Arial" w:hAnsi="Arial"/>
          <w:b/>
          <w:bCs/>
          <w:color w:val="141414"/>
          <w:sz w:val="19"/>
          <w:szCs w:val="19"/>
        </w:rPr>
        <w:t xml:space="preserve">Die Onboarding-Kapazität ist geplant, nicht unterstellt:</w:t>
      </w:r>
      <w:r>
        <w:rPr>
          <w:rFonts w:ascii="Arial" w:cs="Arial" w:eastAsia="Arial" w:hAnsi="Arial"/>
          <w:color w:val="141414"/>
          <w:sz w:val="19"/>
          <w:szCs w:val="19"/>
        </w:rPr>
        <w:t xml:space="preserve"> Bei 3–4 Go-lives je Vollzeitkraft und Monat braucht das Basisszenario 2028 (~65 Brutto-Neukunden) zwei dedizierte Onboarding-Kräfte — beide stehen im Einstellungsplan (Februar 2027 und Juli 2028). Onboarding-Erlöse (einmalig 2,5/5 T€) sind entsprechend bepreist und werden getrennt von den Abos ausgewiesen.</w:t>
      </w:r>
    </w:p>
    <w:p>
      <w:pPr>
        <w:spacing w:after="70" w:before="420"/>
      </w:pPr>
      <w:r>
        <w:rPr>
          <w:rFonts w:ascii="Courier New" w:cs="Courier New" w:eastAsia="Courier New" w:hAnsi="Courier New"/>
          <w:color w:val="C9554D"/>
          <w:sz w:val="16"/>
          <w:szCs w:val="16"/>
        </w:rPr>
        <w:t xml:space="preserve">ABSCHNITT 08</w:t>
      </w:r>
    </w:p>
    <w:p>
      <w:pPr>
        <w:pStyle w:val="Heading1"/>
        <w:spacing w:after="90"/>
      </w:pPr>
      <w:r>
        <w:rPr>
          <w:rFonts w:ascii="Arial" w:cs="Arial" w:eastAsia="Arial" w:hAnsi="Arial"/>
          <w:b/>
          <w:bCs/>
          <w:color w:val="141414"/>
          <w:sz w:val="36"/>
          <w:szCs w:val="36"/>
        </w:rPr>
        <w:t xml:space="preserve">Geschäftsmodell &amp; Preise</w:t>
      </w:r>
    </w:p>
    <w:p>
      <w:pPr>
        <w:pBdr>
          <w:bottom w:val="single" w:color="8E2222" w:sz="8"/>
        </w:pBdr>
        <w:spacing w:after="230"/>
      </w:pPr>
      <w:r>
        <w:rPr>
          <w:rFonts w:ascii="Arial" w:cs="Arial" w:eastAsia="Arial" w:hAnsi="Arial"/>
          <w:i/>
          <w:iCs/>
          <w:color w:val="5A5A5A"/>
          <w:sz w:val="20"/>
          <w:szCs w:val="20"/>
        </w:rPr>
        <w:t xml:space="preserve">Wiederkehrender Umsatz je Modul und Nutzer — mit einem 3×-Ausbaupfad in jedem Kundenkonto.</w:t>
      </w:r>
    </w:p>
    <w:p>
      <w:pPr>
        <w:pStyle w:val="ListParagraph"/>
        <w:numPr>
          <w:ilvl w:val="0"/>
          <w:numId w:val="2"/>
        </w:numPr>
        <w:spacing w:after="130" w:line="300"/>
      </w:pPr>
      <w:r>
        <w:rPr>
          <w:rFonts w:ascii="Arial" w:cs="Arial" w:eastAsia="Arial" w:hAnsi="Arial"/>
          <w:b/>
          <w:bCs/>
          <w:color w:val="141414"/>
          <w:sz w:val="19"/>
          <w:szCs w:val="19"/>
        </w:rPr>
        <w:t xml:space="preserve">Wiederkehrender Umsatz:</w:t>
      </w:r>
      <w:r>
        <w:rPr>
          <w:rFonts w:ascii="Arial" w:cs="Arial" w:eastAsia="Arial" w:hAnsi="Arial"/>
          <w:color w:val="141414"/>
          <w:sz w:val="19"/>
          <w:szCs w:val="19"/>
        </w:rPr>
        <w:t xml:space="preserve"> Monatsabo je Modul und Nutzer, gebündelt in drei Paketen — planbar für den Betrieb, MRR für BauLynq.</w:t>
      </w:r>
    </w:p>
    <w:p>
      <w:pPr>
        <w:pStyle w:val="ListParagraph"/>
        <w:numPr>
          <w:ilvl w:val="0"/>
          <w:numId w:val="2"/>
        </w:numPr>
        <w:spacing w:after="130" w:line="300"/>
      </w:pPr>
      <w:r>
        <w:rPr>
          <w:rFonts w:ascii="Arial" w:cs="Arial" w:eastAsia="Arial" w:hAnsi="Arial"/>
          <w:b/>
          <w:bCs/>
          <w:color w:val="141414"/>
          <w:sz w:val="19"/>
          <w:szCs w:val="19"/>
        </w:rPr>
        <w:t xml:space="preserve">Landen und ausbauen:</w:t>
      </w:r>
      <w:r>
        <w:rPr>
          <w:rFonts w:ascii="Arial" w:cs="Arial" w:eastAsia="Arial" w:hAnsi="Arial"/>
          <w:color w:val="141414"/>
          <w:sz w:val="19"/>
          <w:szCs w:val="19"/>
        </w:rPr>
        <w:t xml:space="preserve"> Start bei 490 €/Monat, Wachstum auf 1.490 €/Monat (3,0-facher Vertragswert), wenn Module und Nutzer dazukommen — Ausbau ohne Akquisitionskosten.</w:t>
      </w:r>
    </w:p>
    <w:p>
      <w:pPr>
        <w:pStyle w:val="ListParagraph"/>
        <w:numPr>
          <w:ilvl w:val="0"/>
          <w:numId w:val="2"/>
        </w:numPr>
        <w:spacing w:after="130" w:line="300"/>
      </w:pPr>
      <w:r>
        <w:rPr>
          <w:rFonts w:ascii="Arial" w:cs="Arial" w:eastAsia="Arial" w:hAnsi="Arial"/>
          <w:b/>
          <w:bCs/>
          <w:color w:val="141414"/>
          <w:sz w:val="19"/>
          <w:szCs w:val="19"/>
        </w:rPr>
        <w:t xml:space="preserve">Einmalig Onboarding &amp; Datenübernahme:</w:t>
      </w:r>
      <w:r>
        <w:rPr>
          <w:rFonts w:ascii="Arial" w:cs="Arial" w:eastAsia="Arial" w:hAnsi="Arial"/>
          <w:color w:val="141414"/>
          <w:sz w:val="19"/>
          <w:szCs w:val="19"/>
        </w:rPr>
        <w:t xml:space="preserve"> 2.500 € (Starter) / 5.000 € (Professional) — deckt die Einführung, filtert Unentschlossene, getrennt ausgewiesen.</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1542"/>
        <w:gridCol w:w="1928"/>
        <w:gridCol w:w="6170"/>
      </w:tblGrid>
      <w:tr>
        <w:trPr>
          <w:tblHeader/>
        </w:trPr>
        <w:tc>
          <w:tcPr>
            <w:tcW w:type="dxa" w:w="1542"/>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Paket</w:t>
            </w:r>
          </w:p>
        </w:tc>
        <w:tc>
          <w:tcPr>
            <w:tcW w:type="dxa" w:w="1928"/>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Preis</w:t>
            </w:r>
          </w:p>
        </w:tc>
        <w:tc>
          <w:tcPr>
            <w:tcW w:type="dxa" w:w="6170"/>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Enthalten</w:t>
            </w:r>
          </w:p>
        </w:tc>
      </w:tr>
      <w:tr>
        <w:tc>
          <w:tcPr>
            <w:tcW w:type="dxa" w:w="1542"/>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Starter</w:t>
            </w:r>
          </w:p>
        </w:tc>
        <w:tc>
          <w:tcPr>
            <w:tcW w:type="dxa" w:w="192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490 € / Monat</w:t>
            </w:r>
          </w:p>
        </w:tc>
        <w:tc>
          <w:tcPr>
            <w:tcW w:type="dxa" w:w="6170"/>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1 Modul · bis 5 Nutzer · Hosting in der EU</w:t>
            </w:r>
          </w:p>
        </w:tc>
      </w:tr>
      <w:tr>
        <w:tc>
          <w:tcPr>
            <w:tcW w:type="dxa" w:w="1542"/>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Professional</w:t>
            </w:r>
          </w:p>
        </w:tc>
        <w:tc>
          <w:tcPr>
            <w:tcW w:type="dxa" w:w="192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1.490 € / Monat</w:t>
            </w:r>
          </w:p>
        </w:tc>
        <w:tc>
          <w:tcPr>
            <w:tcW w:type="dxa" w:w="6170"/>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Alle 10 Module · bis 25 Nutzer · E-Rechnung &amp; GoBD-Archiv</w:t>
            </w:r>
          </w:p>
        </w:tc>
      </w:tr>
      <w:tr>
        <w:tc>
          <w:tcPr>
            <w:tcW w:type="dxa" w:w="1542"/>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Enterprise</w:t>
            </w:r>
          </w:p>
        </w:tc>
        <w:tc>
          <w:tcPr>
            <w:tcW w:type="dxa" w:w="192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Auf Anfrage (Jahresvertrag)</w:t>
            </w:r>
          </w:p>
        </w:tc>
        <w:tc>
          <w:tcPr>
            <w:tcW w:type="dxa" w:w="6170"/>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Unbegrenzte Nutzer · On-Premise-Option · SLA — Roadmap 2027; hebt den Vertragswert Richtung 40–60 T€</w:t>
            </w:r>
          </w:p>
        </w:tc>
      </w:tr>
    </w:tbl>
    <w:p>
      <w:pPr>
        <w:spacing w:after="160"/>
      </w:pPr>
    </w:p>
    <w:p>
      <w:pPr>
        <w:spacing w:after="190" w:line="318"/>
      </w:pPr>
      <w:r>
        <w:rPr>
          <w:rFonts w:ascii="Arial" w:cs="Arial" w:eastAsia="Arial" w:hAnsi="Arial"/>
          <w:b/>
          <w:bCs/>
          <w:color w:val="141414"/>
          <w:sz w:val="19"/>
          <w:szCs w:val="19"/>
        </w:rPr>
        <w:t xml:space="preserve">Warum nicht billiger (die Preislogik):</w:t>
      </w:r>
      <w:r>
        <w:rPr>
          <w:rFonts w:ascii="Arial" w:cs="Arial" w:eastAsia="Arial" w:hAnsi="Arial"/>
          <w:color w:val="141414"/>
          <w:sz w:val="19"/>
          <w:szCs w:val="19"/>
        </w:rPr>
        <w:t xml:space="preserve"> Sichtbare Niedrigpreise — PlanRadar-Bundles ab ca. 89–129 €/Monat, Craftnote ca. 30 €/Nutzer — sind die falsche Vergleichsgruppe: Nutzerpreise für Einzweck-Dokumentations-Apps, verkauft überwiegend ins Handwerk. Starter ist ein pauschaler Firmenpreis für ein Compliance-Modul auf ERP-Niveau (GAEB-Import, VOB-Abrechnungslogik, GoBD-Archiv) für Betriebe mit 50–500 Beschäftigten — dort kosten die echten Alternativen mehr, nicht weniger: Bau-ERP-Arbeitsplätze liegen bei Tausenden Euro pro Jahr, Procores Einstieg bei ca. 10–15 T$ p. a. Ein einziger geretteter Nachtrag bezahlt Starter auf Jahre. Ein billigeres Selbstbedienungspaket wird bewusst verworfen: VOB-Abrechnung lässt sich nicht verantwortungsvoll im Selbstservice einführen, es würde die Plattform auf Punktwerkzeug-Preise verankern und den 3×-Ausbaupfad zerstören. Die Pilotgebühr von 250 €/Monat ist die bewusste Einstiegsrampe — und die Preisvalidierung ist erklärtes Ziel der Pilotkohorte: Das Modell zeigt, dass eine Starter-Preissenkung um 100 € den ARR 2028 im Basisszenario nur um rund 4 % bewegt; das Preisrisiko ist klein gegen das Vertriebsrisiko.</w:t>
      </w:r>
    </w:p>
    <w:p>
      <w:pPr>
        <w:spacing w:after="190" w:line="318"/>
      </w:pPr>
      <w:r>
        <w:rPr>
          <w:rFonts w:ascii="Arial" w:cs="Arial" w:eastAsia="Arial" w:hAnsi="Arial"/>
          <w:b/>
          <w:bCs/>
          <w:color w:val="141414"/>
          <w:sz w:val="19"/>
          <w:szCs w:val="19"/>
        </w:rPr>
        <w:t xml:space="preserve">Warum Kunden bleiben (die Kündigungslogik):</w:t>
      </w:r>
      <w:r>
        <w:rPr>
          <w:rFonts w:ascii="Arial" w:cs="Arial" w:eastAsia="Arial" w:hAnsi="Arial"/>
          <w:color w:val="141414"/>
          <w:sz w:val="19"/>
          <w:szCs w:val="19"/>
        </w:rPr>
        <w:t xml:space="preserve"> BauLynq hält das führende System — die LV-Historie, die Aufmaßketten und das GoBD-festgeschriebene Abrechnungsarchiv. Ein Wechsel bedeutet, mitten im Projekt einen rechtlichen Prüfpfad zu exportieren. Zusammen mit Jahresverträgen ab 2027 rechnet das Basisszenario dennoch mit 1,25 % monatlicher Brutto-Kündigungsquote (~14 %/Jahr) — bewusst über dem Promo-Entwurf (0,75 %) und im Rahmen der Benchmarks für vertikale Mittelstands-SaaS; der konservative Fall trägt 2,0 %.</w:t>
      </w:r>
    </w:p>
    <w:p>
      <w:pPr>
        <w:spacing w:after="190" w:line="318"/>
      </w:pPr>
      <w:r>
        <w:rPr>
          <w:rFonts w:ascii="Arial" w:cs="Arial" w:eastAsia="Arial" w:hAnsi="Arial"/>
          <w:color w:val="141414"/>
          <w:sz w:val="19"/>
          <w:szCs w:val="19"/>
        </w:rPr>
        <w:t xml:space="preserve">Kundensegmente: mittelständische Generalunternehmer mit 50–500 Beschäftigten (Kern), Bauträger (Kosten je Einheit), Infrastruktur (Ressourcen über Bauabschnitte), Industrie &amp; Energie (Übergabedokumentation). Das verbindende Merkmal: Sie rechnen heute mit Excel ab und müssen morgen E-Rechnungen ausstellen.</w:t>
      </w:r>
    </w:p>
    <w:p>
      <w:pPr>
        <w:spacing w:after="70" w:before="420"/>
      </w:pPr>
      <w:r>
        <w:rPr>
          <w:rFonts w:ascii="Courier New" w:cs="Courier New" w:eastAsia="Courier New" w:hAnsi="Courier New"/>
          <w:color w:val="C9554D"/>
          <w:sz w:val="16"/>
          <w:szCs w:val="16"/>
        </w:rPr>
        <w:t xml:space="preserve">ABSCHNITT 09</w:t>
      </w:r>
    </w:p>
    <w:p>
      <w:pPr>
        <w:pStyle w:val="Heading1"/>
        <w:spacing w:after="90"/>
      </w:pPr>
      <w:r>
        <w:rPr>
          <w:rFonts w:ascii="Arial" w:cs="Arial" w:eastAsia="Arial" w:hAnsi="Arial"/>
          <w:b/>
          <w:bCs/>
          <w:color w:val="141414"/>
          <w:sz w:val="36"/>
          <w:szCs w:val="36"/>
        </w:rPr>
        <w:t xml:space="preserve">Finanzplan</w:t>
      </w:r>
    </w:p>
    <w:p>
      <w:pPr>
        <w:pBdr>
          <w:bottom w:val="single" w:color="8E2222" w:sz="8"/>
        </w:pBdr>
        <w:spacing w:after="230"/>
      </w:pPr>
      <w:r>
        <w:rPr>
          <w:rFonts w:ascii="Arial" w:cs="Arial" w:eastAsia="Arial" w:hAnsi="Arial"/>
          <w:i/>
          <w:iCs/>
          <w:color w:val="5A5A5A"/>
          <w:sz w:val="20"/>
          <w:szCs w:val="20"/>
        </w:rPr>
        <w:t xml:space="preserve">Eigenfinanziert erreicht der Plan 1,18 Mio. € ARR; finanziert erreicht dieselbe Maschine 2,0 Mio. € — monatlich modelliert, versteuert, stressgetestet.</w:t>
      </w:r>
    </w:p>
    <w:p>
      <w:pPr>
        <w:spacing w:after="190" w:line="318"/>
      </w:pPr>
      <w:r>
        <w:rPr>
          <w:rFonts w:ascii="Arial" w:cs="Arial" w:eastAsia="Arial" w:hAnsi="Arial"/>
          <w:color w:val="141414"/>
          <w:sz w:val="19"/>
          <w:szCs w:val="19"/>
        </w:rPr>
        <w:t xml:space="preserve">Das mitgelieferte Arbeitsbuch (BauLynq_Financial_Model.xlsx) modelliert Juli 2026 bis Dezember 2029 monatlich: kohortenbasierte Pakete mit explizitem Starter→Professional-Ausbau, Vertriebsprovisionen, Lohninflation, 10 % Puffer auf jede Kostenzeile, vereinfachte Körperschaft- und Gewerbesteuer mit Verlustvortrag, Kassenbestand nach Finanzierung samt Reichweite, ein Sensitivitätsraster Kündigungsquote × Vertriebsplan und vier Szenarien. ARR zählt ausschließlich Abo-Erlöse — Pilotgebühren werden nie annualisiert.</w:t>
      </w:r>
    </w:p>
    <w:p>
      <w:pPr>
        <w:spacing w:after="220" w:before="80"/>
        <w:jc w:val="center"/>
      </w:pPr>
      <w:r>
        <w:drawing>
          <wp:inline distT="0" distB="0" distL="0" distR="0">
            <wp:extent cx="5905500" cy="2286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05500" cy="2286000"/>
                    </a:xfrm>
                    <a:prstGeom prst="rect">
                      <a:avLst/>
                    </a:prstGeom>
                  </pic:spPr>
                </pic:pic>
              </a:graphicData>
            </a:graphic>
          </wp:inline>
        </w:drawing>
      </w:r>
    </w:p>
    <w:p>
      <w:pPr>
        <w:pStyle w:val="Heading2"/>
        <w:spacing w:after="140" w:before="300"/>
      </w:pPr>
      <w:r>
        <w:rPr>
          <w:rFonts w:ascii="Arial" w:cs="Arial" w:eastAsia="Arial" w:hAnsi="Arial"/>
          <w:b/>
          <w:bCs/>
          <w:color w:val="8E2222"/>
          <w:sz w:val="23"/>
          <w:szCs w:val="23"/>
        </w:rPr>
        <w:t xml:space="preserve">9.1  Basisszenario (eigenfinanziert), Jahresübersicht</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3278"/>
        <w:gridCol w:w="1446"/>
        <w:gridCol w:w="1446"/>
        <w:gridCol w:w="1446"/>
        <w:gridCol w:w="2024"/>
      </w:tblGrid>
      <w:tr>
        <w:trPr>
          <w:tblHeader/>
        </w:trPr>
        <w:tc>
          <w:tcPr>
            <w:tcW w:type="dxa" w:w="3278"/>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tc>
        <w:tc>
          <w:tcPr>
            <w:tcW w:type="dxa" w:w="1446"/>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6"/>
                <w:szCs w:val="16"/>
              </w:rPr>
              <w:t xml:space="preserve">2026 (H2)</w:t>
            </w:r>
          </w:p>
        </w:tc>
        <w:tc>
          <w:tcPr>
            <w:tcW w:type="dxa" w:w="1446"/>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6"/>
                <w:szCs w:val="16"/>
              </w:rPr>
              <w:t xml:space="preserve">2027</w:t>
            </w:r>
          </w:p>
        </w:tc>
        <w:tc>
          <w:tcPr>
            <w:tcW w:type="dxa" w:w="1446"/>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6"/>
                <w:szCs w:val="16"/>
              </w:rPr>
              <w:t xml:space="preserve">2028</w:t>
            </w:r>
          </w:p>
        </w:tc>
        <w:tc>
          <w:tcPr>
            <w:tcW w:type="dxa" w:w="2024"/>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6"/>
                <w:szCs w:val="16"/>
              </w:rPr>
              <w:t xml:space="preserve">2029</w:t>
            </w:r>
          </w:p>
        </w:tc>
      </w:tr>
      <w:tr>
        <w:tc>
          <w:tcPr>
            <w:tcW w:type="dxa" w:w="327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Kunden (Jahresende)</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8 Piloten</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34</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96</w:t>
            </w:r>
          </w:p>
        </w:tc>
        <w:tc>
          <w:tcPr>
            <w:tcW w:type="dxa" w:w="2024"/>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161</w:t>
            </w:r>
          </w:p>
        </w:tc>
      </w:tr>
      <w:tr>
        <w:tc>
          <w:tcPr>
            <w:tcW w:type="dxa" w:w="327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ARR (Jahresende, annualisiert)</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364 T€</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1,18 Mio. €</w:t>
            </w:r>
          </w:p>
        </w:tc>
        <w:tc>
          <w:tcPr>
            <w:tcW w:type="dxa" w:w="2024"/>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2,11 Mio. €</w:t>
            </w:r>
          </w:p>
        </w:tc>
      </w:tr>
      <w:tr>
        <w:tc>
          <w:tcPr>
            <w:tcW w:type="dxa" w:w="327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Gesamterlöse</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8 T€</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298 T€</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1,04 Mio. €</w:t>
            </w:r>
          </w:p>
        </w:tc>
        <w:tc>
          <w:tcPr>
            <w:tcW w:type="dxa" w:w="2024"/>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2,03 Mio. €</w:t>
            </w:r>
          </w:p>
        </w:tc>
      </w:tr>
      <w:tr>
        <w:tc>
          <w:tcPr>
            <w:tcW w:type="dxa" w:w="327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   davon Abos</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187 T€</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769 T€</w:t>
            </w:r>
          </w:p>
        </w:tc>
        <w:tc>
          <w:tcPr>
            <w:tcW w:type="dxa" w:w="2024"/>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1,69 Mio. €</w:t>
            </w:r>
          </w:p>
        </w:tc>
      </w:tr>
      <w:tr>
        <w:tc>
          <w:tcPr>
            <w:tcW w:type="dxa" w:w="327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   davon Onboarding (einmalig)</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110 T€</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272 T€</w:t>
            </w:r>
          </w:p>
        </w:tc>
        <w:tc>
          <w:tcPr>
            <w:tcW w:type="dxa" w:w="2024"/>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336 T€</w:t>
            </w:r>
          </w:p>
        </w:tc>
      </w:tr>
      <w:tr>
        <w:tc>
          <w:tcPr>
            <w:tcW w:type="dxa" w:w="327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Personalkosten</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51 T€</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280 T€</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569 T€</w:t>
            </w:r>
          </w:p>
        </w:tc>
        <w:tc>
          <w:tcPr>
            <w:tcW w:type="dxa" w:w="2024"/>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680 T€</w:t>
            </w:r>
          </w:p>
        </w:tc>
      </w:tr>
      <w:tr>
        <w:tc>
          <w:tcPr>
            <w:tcW w:type="dxa" w:w="327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Vertriebs- &amp; Marketingkosten</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26 T€</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197 T€</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375 T€</w:t>
            </w:r>
          </w:p>
        </w:tc>
        <w:tc>
          <w:tcPr>
            <w:tcW w:type="dxa" w:w="2024"/>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439 T€</w:t>
            </w:r>
          </w:p>
        </w:tc>
      </w:tr>
      <w:tr>
        <w:tc>
          <w:tcPr>
            <w:tcW w:type="dxa" w:w="327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Betriebskosten gesamt</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84 T€</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477 T€</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914 T€</w:t>
            </w:r>
          </w:p>
        </w:tc>
        <w:tc>
          <w:tcPr>
            <w:tcW w:type="dxa" w:w="2024"/>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1,13 Mio. €</w:t>
            </w:r>
          </w:p>
        </w:tc>
      </w:tr>
      <w:tr>
        <w:tc>
          <w:tcPr>
            <w:tcW w:type="dxa" w:w="327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EBITDA</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−75 T€</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−180 T€</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+128 T€</w:t>
            </w:r>
          </w:p>
        </w:tc>
        <w:tc>
          <w:tcPr>
            <w:tcW w:type="dxa" w:w="2024"/>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+895 T€</w:t>
            </w:r>
          </w:p>
        </w:tc>
      </w:tr>
      <w:tr>
        <w:tc>
          <w:tcPr>
            <w:tcW w:type="dxa" w:w="327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Steuern (KSt+GewSt, vereinfacht)</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w:t>
            </w:r>
          </w:p>
        </w:tc>
        <w:tc>
          <w:tcPr>
            <w:tcW w:type="dxa" w:w="2024"/>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230 T€</w:t>
            </w:r>
          </w:p>
        </w:tc>
      </w:tr>
      <w:tr>
        <w:tc>
          <w:tcPr>
            <w:tcW w:type="dxa" w:w="327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Kassenbestand (Jahresende, nach Finanzierung)</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15 T€</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335 T€</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463 T€</w:t>
            </w:r>
          </w:p>
        </w:tc>
        <w:tc>
          <w:tcPr>
            <w:tcW w:type="dxa" w:w="2024"/>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1,13 Mio. €</w:t>
            </w:r>
          </w:p>
        </w:tc>
      </w:tr>
      <w:tr>
        <w:tc>
          <w:tcPr>
            <w:tcW w:type="dxa" w:w="327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Mitarbeitende (Jahresende)</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2</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4</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7</w:t>
            </w:r>
          </w:p>
        </w:tc>
        <w:tc>
          <w:tcPr>
            <w:tcW w:type="dxa" w:w="2024"/>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7</w:t>
            </w:r>
          </w:p>
        </w:tc>
      </w:tr>
    </w:tbl>
    <w:p>
      <w:pPr>
        <w:spacing w:after="160"/>
      </w:pPr>
    </w:p>
    <w:p>
      <w:pPr>
        <w:spacing w:after="190" w:line="318"/>
      </w:pPr>
      <w:r>
        <w:rPr>
          <w:rFonts w:ascii="Arial" w:cs="Arial" w:eastAsia="Arial" w:hAnsi="Arial"/>
          <w:color w:val="141414"/>
          <w:sz w:val="19"/>
          <w:szCs w:val="19"/>
        </w:rPr>
        <w:t xml:space="preserve">Die Form des Plans: ein gründerfinanziertes Pilothalbjahr (Eigenbeitrag 90 T€ deckt H2 2026), ein Investitionsjahr 2027 (−180 T€ EBITDA — genau dafür ist die Seed-Runde da), operative Hebelwirkung ab 2028, wenn die Pflicht alle erreicht und der Bestand ausbaut. Vertrieb &amp; Marketing laufen 2027–2028 bei ~40–66 % vom Umsatz — ein echtes Markterschließungsbudget, kein Rundungsposten.</w:t>
      </w:r>
    </w:p>
    <w:p>
      <w:pPr>
        <w:spacing w:after="220" w:before="80"/>
        <w:jc w:val="center"/>
      </w:pPr>
      <w:r>
        <w:drawing>
          <wp:inline distT="0" distB="0" distL="0" distR="0">
            <wp:extent cx="5905500" cy="2047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05500" cy="2047875"/>
                    </a:xfrm>
                    <a:prstGeom prst="rect">
                      <a:avLst/>
                    </a:prstGeom>
                  </pic:spPr>
                </pic:pic>
              </a:graphicData>
            </a:graphic>
          </wp:inline>
        </w:drawing>
      </w:r>
    </w:p>
    <w:p>
      <w:pPr>
        <w:pStyle w:val="Heading2"/>
        <w:spacing w:after="140" w:before="300"/>
      </w:pPr>
      <w:r>
        <w:rPr>
          <w:rFonts w:ascii="Arial" w:cs="Arial" w:eastAsia="Arial" w:hAnsi="Arial"/>
          <w:b/>
          <w:bCs/>
          <w:color w:val="8E2222"/>
          <w:sz w:val="23"/>
          <w:szCs w:val="23"/>
        </w:rPr>
        <w:t xml:space="preserve">9.2  Kundenökonomie (Basisszenario, 2028)</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3085"/>
        <w:gridCol w:w="1735"/>
        <w:gridCol w:w="4820"/>
      </w:tblGrid>
      <w:tr>
        <w:trPr>
          <w:tblHeader/>
        </w:trPr>
        <w:tc>
          <w:tcPr>
            <w:tcW w:type="dxa" w:w="3085"/>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6"/>
                <w:szCs w:val="16"/>
              </w:rPr>
              <w:t xml:space="preserve">Kennzahl</w:t>
            </w:r>
          </w:p>
        </w:tc>
        <w:tc>
          <w:tcPr>
            <w:tcW w:type="dxa" w:w="1735"/>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6"/>
                <w:szCs w:val="16"/>
              </w:rPr>
              <w:t xml:space="preserve">Wert</w:t>
            </w:r>
          </w:p>
        </w:tc>
        <w:tc>
          <w:tcPr>
            <w:tcW w:type="dxa" w:w="4820"/>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6"/>
                <w:szCs w:val="16"/>
              </w:rPr>
              <w:t xml:space="preserve">Anmerkung</w:t>
            </w:r>
          </w:p>
        </w:tc>
      </w:tr>
      <w:tr>
        <w:tc>
          <w:tcPr>
            <w:tcW w:type="dxa" w:w="308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ARPA (Misch-Abo-MRR je Kunde)</w:t>
            </w:r>
          </w:p>
        </w:tc>
        <w:tc>
          <w:tcPr>
            <w:tcW w:type="dxa" w:w="173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1.025 €</w:t>
            </w:r>
          </w:p>
        </w:tc>
        <w:tc>
          <w:tcPr>
            <w:tcW w:type="dxa" w:w="4820"/>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60/40 Professional/Starter Ende 2028</w:t>
            </w:r>
          </w:p>
        </w:tc>
      </w:tr>
      <w:tr>
        <w:tc>
          <w:tcPr>
            <w:tcW w:type="dxa" w:w="308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Rohmarge (annualisierte Betrachtung)</w:t>
            </w:r>
          </w:p>
        </w:tc>
        <w:tc>
          <w:tcPr>
            <w:tcW w:type="dxa" w:w="173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84 %</w:t>
            </w:r>
          </w:p>
        </w:tc>
        <w:tc>
          <w:tcPr>
            <w:tcW w:type="dxa" w:w="4820"/>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MRR abzüglich Hosting, Zahlungsgebühren und Support-Personal</w:t>
            </w:r>
          </w:p>
        </w:tc>
      </w:tr>
      <w:tr>
        <w:tc>
          <w:tcPr>
            <w:tcW w:type="dxa" w:w="308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Akquisitionskosten (CAC)</w:t>
            </w:r>
          </w:p>
        </w:tc>
        <w:tc>
          <w:tcPr>
            <w:tcW w:type="dxa" w:w="173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 5.300 €</w:t>
            </w:r>
          </w:p>
        </w:tc>
        <w:tc>
          <w:tcPr>
            <w:tcW w:type="dxa" w:w="4820"/>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Volles V&amp;M: Marketing + Provisionen + Vertriebsgehälter, ÷ Brutto-Neukunden</w:t>
            </w:r>
          </w:p>
        </w:tc>
      </w:tr>
      <w:tr>
        <w:tc>
          <w:tcPr>
            <w:tcW w:type="dxa" w:w="308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Monatliche Brutto-Kündigungsquote</w:t>
            </w:r>
          </w:p>
        </w:tc>
        <w:tc>
          <w:tcPr>
            <w:tcW w:type="dxa" w:w="173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1,25 %</w:t>
            </w:r>
          </w:p>
        </w:tc>
        <w:tc>
          <w:tcPr>
            <w:tcW w:type="dxa" w:w="4820"/>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~14 %/Jahr — benchmark-verankert, über dem Promo-Entwurf</w:t>
            </w:r>
          </w:p>
        </w:tc>
      </w:tr>
      <w:tr>
        <w:tc>
          <w:tcPr>
            <w:tcW w:type="dxa" w:w="308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Kundenwert LTV (Lebensdauer gedeckelt auf 48 Monate)</w:t>
            </w:r>
          </w:p>
        </w:tc>
        <w:tc>
          <w:tcPr>
            <w:tcW w:type="dxa" w:w="173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 41 T€</w:t>
            </w:r>
          </w:p>
        </w:tc>
        <w:tc>
          <w:tcPr>
            <w:tcW w:type="dxa" w:w="4820"/>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ARPA × Rohmarge × gedeckelte Lebensdauer — keine 11-Jahres-Annahmen</w:t>
            </w:r>
          </w:p>
        </w:tc>
      </w:tr>
      <w:tr>
        <w:tc>
          <w:tcPr>
            <w:tcW w:type="dxa" w:w="308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LTV / CAC</w:t>
            </w:r>
          </w:p>
        </w:tc>
        <w:tc>
          <w:tcPr>
            <w:tcW w:type="dxa" w:w="173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 7,8×</w:t>
            </w:r>
          </w:p>
        </w:tc>
        <w:tc>
          <w:tcPr>
            <w:tcW w:type="dxa" w:w="4820"/>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Benchmark: ≥ 3× finanzierbar, ≥ 5× stark (High Alpha 2024; Tidemark 2025)</w:t>
            </w:r>
          </w:p>
        </w:tc>
      </w:tr>
      <w:tr>
        <w:tc>
          <w:tcPr>
            <w:tcW w:type="dxa" w:w="308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CAC-Amortisation</w:t>
            </w:r>
          </w:p>
        </w:tc>
        <w:tc>
          <w:tcPr>
            <w:tcW w:type="dxa" w:w="173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 6,1 Monate</w:t>
            </w:r>
          </w:p>
        </w:tc>
        <w:tc>
          <w:tcPr>
            <w:tcW w:type="dxa" w:w="4820"/>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Deutlich unter der 18-Monats-Glaubwürdigkeitsgrenze</w:t>
            </w:r>
          </w:p>
        </w:tc>
      </w:tr>
    </w:tbl>
    <w:p>
      <w:pPr>
        <w:spacing w:after="160"/>
      </w:pPr>
    </w:p>
    <w:p>
      <w:pPr>
        <w:pStyle w:val="Heading2"/>
        <w:spacing w:after="140" w:before="300"/>
      </w:pPr>
      <w:r>
        <w:rPr>
          <w:rFonts w:ascii="Arial" w:cs="Arial" w:eastAsia="Arial" w:hAnsi="Arial"/>
          <w:b/>
          <w:bCs/>
          <w:color w:val="8E2222"/>
          <w:sz w:val="23"/>
          <w:szCs w:val="23"/>
        </w:rPr>
        <w:t xml:space="preserve">9.3  Stresstest</w:t>
      </w:r>
    </w:p>
    <w:p>
      <w:pPr>
        <w:spacing w:after="190" w:line="318"/>
      </w:pPr>
      <w:r>
        <w:rPr>
          <w:rFonts w:ascii="Arial" w:cs="Arial" w:eastAsia="Arial" w:hAnsi="Arial"/>
          <w:color w:val="141414"/>
          <w:sz w:val="19"/>
          <w:szCs w:val="19"/>
        </w:rPr>
        <w:t xml:space="preserve">Das Sensitivitätsraster des Arbeitsbuchs variiert die Kündigungsquote (0,5–2,0 %/Monat) gegen den Vertriebsplan (40–120 %) bei konstant gehaltenem Personalplan. Unter dieser Bedingung benötigt die schlechteste Zelle ab 60 % Planerfüllung 598.933 € und die absolut schlechteste Ecke (2,0 % Kündigung × 40 % Plan) 1.021.390 € — beide oberhalb der 500-T€-Runde. Genau in diesen Fällen werden Einstellungen verschoben, was das konservative Szenario tut: Mit sechs Monaten Verzögerung sinkt der Spitzenbedarf auf 310 T€, der minimale Kassenbestand nach Finanzierung bleibt mit +74 T€ positiv. Die Runde ist daher gegen das konservative Szenario dimensioniert, nicht gegen das Raster mit fixem Personalplan; das Raster wird gezeigt, damit diese Bedingung sichtbar ist statt vorausgesetzt.</w:t>
      </w:r>
    </w:p>
    <w:p>
      <w:pPr>
        <w:spacing w:after="70" w:before="420"/>
      </w:pPr>
      <w:r>
        <w:rPr>
          <w:rFonts w:ascii="Courier New" w:cs="Courier New" w:eastAsia="Courier New" w:hAnsi="Courier New"/>
          <w:color w:val="C9554D"/>
          <w:sz w:val="16"/>
          <w:szCs w:val="16"/>
        </w:rPr>
        <w:t xml:space="preserve">ABSCHNITT 10</w:t>
      </w:r>
    </w:p>
    <w:p>
      <w:pPr>
        <w:pStyle w:val="Heading1"/>
        <w:spacing w:after="90"/>
      </w:pPr>
      <w:r>
        <w:rPr>
          <w:rFonts w:ascii="Arial" w:cs="Arial" w:eastAsia="Arial" w:hAnsi="Arial"/>
          <w:b/>
          <w:bCs/>
          <w:color w:val="141414"/>
          <w:sz w:val="36"/>
          <w:szCs w:val="36"/>
        </w:rPr>
        <w:t xml:space="preserve">Team &amp; Einstellungsplan</w:t>
      </w:r>
    </w:p>
    <w:p>
      <w:pPr>
        <w:pBdr>
          <w:bottom w:val="single" w:color="8E2222" w:sz="8"/>
        </w:pBdr>
        <w:spacing w:after="230"/>
      </w:pPr>
      <w:r>
        <w:rPr>
          <w:rFonts w:ascii="Arial" w:cs="Arial" w:eastAsia="Arial" w:hAnsi="Arial"/>
          <w:i/>
          <w:iCs/>
          <w:color w:val="5A5A5A"/>
          <w:sz w:val="20"/>
          <w:szCs w:val="20"/>
        </w:rPr>
        <w:t xml:space="preserve">Drei Gründungsingenieure haben das Unternehmen gebaut; vier Einstellungen skalieren es — jede mit Datum, Kosten und Auslöser.</w:t>
      </w:r>
    </w:p>
    <w:p>
      <w:pPr>
        <w:spacing w:after="190" w:line="318"/>
      </w:pPr>
      <w:r>
        <w:rPr>
          <w:rFonts w:ascii="Arial" w:cs="Arial" w:eastAsia="Arial" w:hAnsi="Arial"/>
          <w:color w:val="141414"/>
          <w:sz w:val="19"/>
          <w:szCs w:val="19"/>
        </w:rPr>
        <w:t xml:space="preserve">BauLynq wird von </w:t>
      </w:r>
      <w:r>
        <w:rPr>
          <w:rFonts w:ascii="Arial" w:cs="Arial" w:eastAsia="Arial" w:hAnsi="Arial"/>
          <w:b/>
          <w:bCs/>
          <w:color w:val="141414"/>
          <w:sz w:val="19"/>
          <w:szCs w:val="19"/>
        </w:rPr>
        <w:t xml:space="preserve">drei Ingenieuren</w:t>
      </w:r>
      <w:r>
        <w:rPr>
          <w:rFonts w:ascii="Arial" w:cs="Arial" w:eastAsia="Arial" w:hAnsi="Arial"/>
          <w:color w:val="141414"/>
          <w:sz w:val="19"/>
          <w:szCs w:val="19"/>
        </w:rPr>
        <w:t xml:space="preserve"> gegründet:</w:t>
      </w:r>
    </w:p>
    <w:p>
      <w:pPr>
        <w:pStyle w:val="ListParagraph"/>
        <w:numPr>
          <w:ilvl w:val="0"/>
          <w:numId w:val="2"/>
        </w:numPr>
        <w:spacing w:after="130" w:line="300"/>
      </w:pPr>
      <w:r>
        <w:rPr>
          <w:rFonts w:ascii="Arial" w:cs="Arial" w:eastAsia="Arial" w:hAnsi="Arial"/>
          <w:b/>
          <w:bCs/>
          <w:color w:val="141414"/>
          <w:sz w:val="19"/>
          <w:szCs w:val="19"/>
        </w:rPr>
        <w:t xml:space="preserve">Mohamad El Ejel — Gründer, Produkt &amp; Entwicklung.</w:t>
      </w:r>
      <w:r>
        <w:rPr>
          <w:rFonts w:ascii="Arial" w:cs="Arial" w:eastAsia="Arial" w:hAnsi="Arial"/>
          <w:color w:val="141414"/>
          <w:sz w:val="19"/>
          <w:szCs w:val="19"/>
        </w:rPr>
        <w:t xml:space="preserve"> Kennt die Excel-Realität aus eigener Bauprojektarbeit; hat die gesamte Plattform entworfen und geschrieben: elf Modulbereiche, das Fundament, 1.465 automatisierte Tests, live im Einsatz.</w:t>
      </w:r>
    </w:p>
    <w:p>
      <w:pPr>
        <w:pStyle w:val="ListParagraph"/>
        <w:numPr>
          <w:ilvl w:val="0"/>
          <w:numId w:val="2"/>
        </w:numPr>
        <w:spacing w:after="130" w:line="300"/>
      </w:pPr>
      <w:r>
        <w:rPr>
          <w:rFonts w:ascii="Arial" w:cs="Arial" w:eastAsia="Arial" w:hAnsi="Arial"/>
          <w:b/>
          <w:bCs/>
          <w:color w:val="141414"/>
          <w:sz w:val="19"/>
          <w:szCs w:val="19"/>
        </w:rPr>
        <w:t xml:space="preserve">Salah Alabdallah — Mitgründer, Bau &amp; Betrieb.</w:t>
      </w:r>
      <w:r>
        <w:rPr>
          <w:rFonts w:ascii="Arial" w:cs="Arial" w:eastAsia="Arial" w:hAnsi="Arial"/>
          <w:color w:val="141414"/>
          <w:sz w:val="19"/>
          <w:szCs w:val="19"/>
        </w:rPr>
        <w:t xml:space="preserve"> Ingenieur, derzeit bei der Deutschen Bahn — bringt die Betriebsdisziplin großer Infrastruktur und die Prozessperspektive der Auftraggeberseite (AG) mit; der Vollzeitwechsel ist mit der Runde geplant.</w:t>
      </w:r>
    </w:p>
    <w:p>
      <w:pPr>
        <w:pStyle w:val="ListParagraph"/>
        <w:numPr>
          <w:ilvl w:val="0"/>
          <w:numId w:val="2"/>
        </w:numPr>
        <w:spacing w:after="130" w:line="300"/>
      </w:pPr>
      <w:r>
        <w:rPr>
          <w:rFonts w:ascii="Arial" w:cs="Arial" w:eastAsia="Arial" w:hAnsi="Arial"/>
          <w:b/>
          <w:bCs/>
          <w:color w:val="141414"/>
          <w:sz w:val="19"/>
          <w:szCs w:val="19"/>
        </w:rPr>
        <w:t xml:space="preserve">Majd El Ejel — Mitgründer, Entwicklung.</w:t>
      </w:r>
      <w:r>
        <w:rPr>
          <w:rFonts w:ascii="Arial" w:cs="Arial" w:eastAsia="Arial" w:hAnsi="Arial"/>
          <w:color w:val="141414"/>
          <w:sz w:val="19"/>
          <w:szCs w:val="19"/>
        </w:rPr>
        <w:t xml:space="preserve"> Maschinenbau, Otto-von-Guericke-Universität Magdeburg — Entwicklungskapazität und Qualitätssicherung an der Seite des Plattform-Autors.</w:t>
      </w:r>
    </w:p>
    <w:p>
      <w:pPr>
        <w:spacing w:after="190" w:line="318"/>
      </w:pPr>
      <w:r>
        <w:rPr>
          <w:rFonts w:ascii="Arial" w:cs="Arial" w:eastAsia="Arial" w:hAnsi="Arial"/>
          <w:color w:val="141414"/>
          <w:sz w:val="19"/>
          <w:szCs w:val="19"/>
        </w:rPr>
        <w:t xml:space="preserve">Branchenwissen und Produktumsetzung in einem Gründerteam sind die zentrale Kapitaleffizienz des Unternehmens. Die verbleibende Konzentration — der Plattform-Code stammt von einem der drei — wird unten offen adressiert statt versteckt.</w:t>
      </w:r>
    </w:p>
    <w:p>
      <w:pPr>
        <w:spacing w:after="190" w:line="318"/>
      </w:pPr>
      <w:r>
        <w:rPr>
          <w:rFonts w:ascii="Arial" w:cs="Arial" w:eastAsia="Arial" w:hAnsi="Arial"/>
          <w:b/>
          <w:bCs/>
          <w:color w:val="141414"/>
          <w:sz w:val="19"/>
          <w:szCs w:val="19"/>
        </w:rPr>
        <w:t xml:space="preserve">Kapazität des Gründerteams, H2 2026 (ehrliche Sicht):</w:t>
      </w:r>
      <w:r>
        <w:rPr>
          <w:rFonts w:ascii="Arial" w:cs="Arial" w:eastAsia="Arial" w:hAnsi="Arial"/>
          <w:color w:val="141414"/>
          <w:sz w:val="19"/>
          <w:szCs w:val="19"/>
        </w:rPr>
        <w:t xml:space="preserve"> Mohamad — Piloten und Onboarding ~50 %, Produkt ~30 %, Vertrieb an der Seite von Vertrieb #1 ~20 %; Salah — Betrieb und Pilotkontakte neben der aktuellen Anstellung; Majd — Entwicklungsunterstützung. Was bei Wachstum zuerst bricht, ist das Onboarding — deshalb sind die ersten beiden Nicht-Vertriebs-Einstellungen Onboarding/Support, und deshalb begrenzen Go-lives je Vollzeitkraft (3–4/Monat) den Vertriebsplan, nicht umgekehrt.</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2121"/>
        <w:gridCol w:w="1060"/>
        <w:gridCol w:w="1446"/>
        <w:gridCol w:w="3278"/>
        <w:gridCol w:w="1735"/>
      </w:tblGrid>
      <w:tr>
        <w:trPr>
          <w:tblHeader/>
        </w:trPr>
        <w:tc>
          <w:tcPr>
            <w:tcW w:type="dxa" w:w="2121"/>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6"/>
                <w:szCs w:val="16"/>
              </w:rPr>
              <w:t xml:space="preserve">Rolle</w:t>
            </w:r>
          </w:p>
        </w:tc>
        <w:tc>
          <w:tcPr>
            <w:tcW w:type="dxa" w:w="1060"/>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6"/>
                <w:szCs w:val="16"/>
              </w:rPr>
              <w:t xml:space="preserve">Start</w:t>
            </w:r>
          </w:p>
        </w:tc>
        <w:tc>
          <w:tcPr>
            <w:tcW w:type="dxa" w:w="1446"/>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6"/>
                <w:szCs w:val="16"/>
              </w:rPr>
              <w:t xml:space="preserve">Vollkosten / Jahr</w:t>
            </w:r>
          </w:p>
        </w:tc>
        <w:tc>
          <w:tcPr>
            <w:tcW w:type="dxa" w:w="3278"/>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6"/>
                <w:szCs w:val="16"/>
              </w:rPr>
              <w:t xml:space="preserve">Auftrag der ersten 90 Tage</w:t>
            </w:r>
          </w:p>
        </w:tc>
        <w:tc>
          <w:tcPr>
            <w:tcW w:type="dxa" w:w="1735"/>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6"/>
                <w:szCs w:val="16"/>
              </w:rPr>
              <w:t xml:space="preserve">Auslöser</w:t>
            </w:r>
          </w:p>
        </w:tc>
      </w:tr>
      <w:tr>
        <w:tc>
          <w:tcPr>
            <w:tcW w:type="dxa" w:w="2121"/>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Vertrieb / AE #1</w:t>
            </w:r>
          </w:p>
        </w:tc>
        <w:tc>
          <w:tcPr>
            <w:tcW w:type="dxa" w:w="1060"/>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Nov. 2026</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 85 T€</w:t>
            </w:r>
          </w:p>
        </w:tc>
        <w:tc>
          <w:tcPr>
            <w:tcW w:type="dxa" w:w="327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Demo→Pilot-Funnel übernehmen; 20 Demos</w:t>
            </w:r>
          </w:p>
        </w:tc>
        <w:tc>
          <w:tcPr>
            <w:tcW w:type="dxa" w:w="173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Pilotkohorte läuft</w:t>
            </w:r>
          </w:p>
        </w:tc>
      </w:tr>
      <w:tr>
        <w:tc>
          <w:tcPr>
            <w:tcW w:type="dxa" w:w="2121"/>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Onboarding &amp; Support #1</w:t>
            </w:r>
          </w:p>
        </w:tc>
        <w:tc>
          <w:tcPr>
            <w:tcW w:type="dxa" w:w="1060"/>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Feb. 2027</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 67 T€</w:t>
            </w:r>
          </w:p>
        </w:tc>
        <w:tc>
          <w:tcPr>
            <w:tcW w:type="dxa" w:w="327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Das 21-Tage-Versprechen verantworten; Runbooks</w:t>
            </w:r>
          </w:p>
        </w:tc>
        <w:tc>
          <w:tcPr>
            <w:tcW w:type="dxa" w:w="173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&gt; 5 zahlende Kunden</w:t>
            </w:r>
          </w:p>
        </w:tc>
      </w:tr>
      <w:tr>
        <w:tc>
          <w:tcPr>
            <w:tcW w:type="dxa" w:w="2121"/>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Entwicklung #1</w:t>
            </w:r>
          </w:p>
        </w:tc>
        <w:tc>
          <w:tcPr>
            <w:tcW w:type="dxa" w:w="1060"/>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Jul. 2027</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 104 T€</w:t>
            </w:r>
          </w:p>
        </w:tc>
        <w:tc>
          <w:tcPr>
            <w:tcW w:type="dxa" w:w="327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DATEV-Export; Bus-Faktor auf 2 senken</w:t>
            </w:r>
          </w:p>
        </w:tc>
        <w:tc>
          <w:tcPr>
            <w:tcW w:type="dxa" w:w="173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 15 T€ MRR</w:t>
            </w:r>
          </w:p>
        </w:tc>
      </w:tr>
      <w:tr>
        <w:tc>
          <w:tcPr>
            <w:tcW w:type="dxa" w:w="2121"/>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Vertrieb / AE #2</w:t>
            </w:r>
          </w:p>
        </w:tc>
        <w:tc>
          <w:tcPr>
            <w:tcW w:type="dxa" w:w="1060"/>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Jan. 2028</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 85 T€</w:t>
            </w:r>
          </w:p>
        </w:tc>
        <w:tc>
          <w:tcPr>
            <w:tcW w:type="dxa" w:w="327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Zweites Gebiet (Süd/West)</w:t>
            </w:r>
          </w:p>
        </w:tc>
        <w:tc>
          <w:tcPr>
            <w:tcW w:type="dxa" w:w="173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AE #1 auf Quote</w:t>
            </w:r>
          </w:p>
        </w:tc>
      </w:tr>
      <w:tr>
        <w:tc>
          <w:tcPr>
            <w:tcW w:type="dxa" w:w="2121"/>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Support #2 · Entwicklung #2</w:t>
            </w:r>
          </w:p>
        </w:tc>
        <w:tc>
          <w:tcPr>
            <w:tcW w:type="dxa" w:w="1060"/>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Jul. 2028</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 171 T€</w:t>
            </w:r>
          </w:p>
        </w:tc>
        <w:tc>
          <w:tcPr>
            <w:tcW w:type="dxa" w:w="327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Onboarding auf ~6 Go-lives/Monat; API-Schicht</w:t>
            </w:r>
          </w:p>
        </w:tc>
        <w:tc>
          <w:tcPr>
            <w:tcW w:type="dxa" w:w="173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 60 Kunden</w:t>
            </w:r>
          </w:p>
        </w:tc>
      </w:tr>
    </w:tbl>
    <w:p>
      <w:pPr>
        <w:spacing w:after="160"/>
      </w:pPr>
    </w:p>
    <w:p>
      <w:pPr>
        <w:spacing w:after="190" w:line="318"/>
      </w:pPr>
      <w:r>
        <w:rPr>
          <w:rFonts w:ascii="Arial" w:cs="Arial" w:eastAsia="Arial" w:hAnsi="Arial"/>
          <w:b/>
          <w:bCs/>
          <w:color w:val="141414"/>
          <w:sz w:val="19"/>
          <w:szCs w:val="19"/>
        </w:rPr>
        <w:t xml:space="preserve">Kontinuitätsmaßnahmen (Schlüsselpersonenrisiko auf Code-Ebene):</w:t>
      </w:r>
      <w:r>
        <w:rPr>
          <w:rFonts w:ascii="Arial" w:cs="Arial" w:eastAsia="Arial" w:hAnsi="Arial"/>
          <w:color w:val="141414"/>
          <w:sz w:val="19"/>
          <w:szCs w:val="19"/>
        </w:rPr>
        <w:t xml:space="preserve"> Auf Unternehmensebene liegt der Bus-Faktor bei drei, die Plattform selbst stammt jedoch von einem Ingenieur — daher dokumentierte Runbooks und Architektur, Hinterlegung der Zugänge, Schlüsselpersonenversicherung zum Closing und der ausdrückliche Auftrag an Entwicklung #1, gemeinsame Code-Verantwortung zu erreichen. 1.465 Tests und eine saubere Architektur machen den Code übertragbar; die Einstellungen machen ihn geteilt. Zwei bis drei Beiräte (ein Mittelstands-Baupraktiker, ein SaaS-Vertriebsberater) werden parallel zur Runde gewonnen.</w:t>
      </w:r>
    </w:p>
    <w:p>
      <w:pPr>
        <w:spacing w:after="70" w:before="420"/>
      </w:pPr>
      <w:r>
        <w:rPr>
          <w:rFonts w:ascii="Courier New" w:cs="Courier New" w:eastAsia="Courier New" w:hAnsi="Courier New"/>
          <w:color w:val="C9554D"/>
          <w:sz w:val="16"/>
          <w:szCs w:val="16"/>
        </w:rPr>
        <w:t xml:space="preserve">ABSCHNITT 11</w:t>
      </w:r>
    </w:p>
    <w:p>
      <w:pPr>
        <w:pStyle w:val="Heading1"/>
        <w:spacing w:after="90"/>
      </w:pPr>
      <w:r>
        <w:rPr>
          <w:rFonts w:ascii="Arial" w:cs="Arial" w:eastAsia="Arial" w:hAnsi="Arial"/>
          <w:b/>
          <w:bCs/>
          <w:color w:val="141414"/>
          <w:sz w:val="36"/>
          <w:szCs w:val="36"/>
        </w:rPr>
        <w:t xml:space="preserve">Finanzierungsbedarf &amp; Mittelverwendung</w:t>
      </w:r>
    </w:p>
    <w:p>
      <w:pPr>
        <w:pBdr>
          <w:bottom w:val="single" w:color="8E2222" w:sz="8"/>
        </w:pBdr>
        <w:spacing w:after="230"/>
      </w:pPr>
      <w:r>
        <w:rPr>
          <w:rFonts w:ascii="Arial" w:cs="Arial" w:eastAsia="Arial" w:hAnsi="Arial"/>
          <w:i/>
          <w:iCs/>
          <w:color w:val="5A5A5A"/>
          <w:sz w:val="20"/>
          <w:szCs w:val="20"/>
        </w:rPr>
        <w:t xml:space="preserve">500 T€ machen aus einem selbsttragenden 1,2-Mio.-€-ARR-Plan einen 2,0-Mio.-€-Plan — und sichern den Abwärtsfall gleich mit ab.</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3278"/>
        <w:gridCol w:w="1350"/>
        <w:gridCol w:w="5013"/>
      </w:tblGrid>
      <w:tr>
        <w:trPr>
          <w:tblHeader/>
        </w:trPr>
        <w:tc>
          <w:tcPr>
            <w:tcW w:type="dxa" w:w="3278"/>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Mittelverwendung</w:t>
            </w:r>
          </w:p>
        </w:tc>
        <w:tc>
          <w:tcPr>
            <w:tcW w:type="dxa" w:w="1350"/>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Betrag</w:t>
            </w:r>
          </w:p>
        </w:tc>
        <w:tc>
          <w:tcPr>
            <w:tcW w:type="dxa" w:w="5013"/>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Was damit gekauft wird</w:t>
            </w:r>
          </w:p>
        </w:tc>
      </w:tr>
      <w:tr>
        <w:tc>
          <w:tcPr>
            <w:tcW w:type="dxa" w:w="327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Kernteam (4 Einstellungen bis Ende 2027)</w:t>
            </w:r>
          </w:p>
        </w:tc>
        <w:tc>
          <w:tcPr>
            <w:tcW w:type="dxa" w:w="1350"/>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330 T€</w:t>
            </w:r>
          </w:p>
        </w:tc>
        <w:tc>
          <w:tcPr>
            <w:tcW w:type="dxa" w:w="5013"/>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Vertrieb, Onboarding, Entwicklung — die drei Rollen aus dem Businessplan</w:t>
            </w:r>
          </w:p>
        </w:tc>
      </w:tr>
      <w:tr>
        <w:tc>
          <w:tcPr>
            <w:tcW w:type="dxa" w:w="327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Markterschließung &amp; Marketing</w:t>
            </w:r>
          </w:p>
        </w:tc>
        <w:tc>
          <w:tcPr>
            <w:tcW w:type="dxa" w:w="1350"/>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90 T€</w:t>
            </w:r>
          </w:p>
        </w:tc>
        <w:tc>
          <w:tcPr>
            <w:tcW w:type="dxa" w:w="5013"/>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Messen (BAU/digitalBAU), Inhalte, bezahlte Akquise — der Funnel 2027–28</w:t>
            </w:r>
          </w:p>
        </w:tc>
      </w:tr>
      <w:tr>
        <w:tc>
          <w:tcPr>
            <w:tcW w:type="dxa" w:w="327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Infrastruktur, Zertifizierung &amp; Reserve</w:t>
            </w:r>
          </w:p>
        </w:tc>
        <w:tc>
          <w:tcPr>
            <w:tcW w:type="dxa" w:w="1350"/>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80 T€</w:t>
            </w:r>
          </w:p>
        </w:tc>
        <w:tc>
          <w:tcPr>
            <w:tcW w:type="dxa" w:w="5013"/>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Hosting-Ausbau, ISO-27001-Pfad, Schlüsselpersonenversicherung, Puffer</w:t>
            </w:r>
          </w:p>
        </w:tc>
      </w:tr>
    </w:tbl>
    <w:p>
      <w:pPr>
        <w:spacing w:after="160"/>
      </w:pPr>
    </w:p>
    <w:p>
      <w:pPr>
        <w:pStyle w:val="ListParagraph"/>
        <w:numPr>
          <w:ilvl w:val="0"/>
          <w:numId w:val="2"/>
        </w:numPr>
        <w:spacing w:after="130" w:line="300"/>
      </w:pPr>
      <w:r>
        <w:rPr>
          <w:rFonts w:ascii="Arial" w:cs="Arial" w:eastAsia="Arial" w:hAnsi="Arial"/>
          <w:b/>
          <w:bCs/>
          <w:color w:val="141414"/>
          <w:sz w:val="19"/>
          <w:szCs w:val="19"/>
        </w:rPr>
        <w:t xml:space="preserve">Meilenstein, den die Runde kauft:</w:t>
      </w:r>
      <w:r>
        <w:rPr>
          <w:rFonts w:ascii="Arial" w:cs="Arial" w:eastAsia="Arial" w:hAnsi="Arial"/>
          <w:color w:val="141414"/>
          <w:sz w:val="19"/>
          <w:szCs w:val="19"/>
        </w:rPr>
        <w:t xml:space="preserve"> ≥ 34 zahlende Kunden und ≥ 364 T€ ARR bis Ende 2027 (Basis) — bereit für die Series A — beziehungsweise im finanzierten Fall ~50 Kunden und der vorgezogene Hebelpunkt 2028.</w:t>
      </w:r>
    </w:p>
    <w:p>
      <w:pPr>
        <w:pStyle w:val="ListParagraph"/>
        <w:numPr>
          <w:ilvl w:val="0"/>
          <w:numId w:val="2"/>
        </w:numPr>
        <w:spacing w:after="130" w:line="300"/>
      </w:pPr>
      <w:r>
        <w:rPr>
          <w:rFonts w:ascii="Arial" w:cs="Arial" w:eastAsia="Arial" w:hAnsi="Arial"/>
          <w:b/>
          <w:bCs/>
          <w:color w:val="141414"/>
          <w:sz w:val="19"/>
          <w:szCs w:val="19"/>
        </w:rPr>
        <w:t xml:space="preserve">Reichweite:</w:t>
      </w:r>
      <w:r>
        <w:rPr>
          <w:rFonts w:ascii="Arial" w:cs="Arial" w:eastAsia="Arial" w:hAnsi="Arial"/>
          <w:color w:val="141414"/>
          <w:sz w:val="19"/>
          <w:szCs w:val="19"/>
        </w:rPr>
        <w:t xml:space="preserve"> bis zum positiven Cashflow in allen vier Szenarien; der Kassenbestand nach Closing wird nie negativ (konservativ: +74 T€ am Tiefpunkt, bei verschobenen Einstellungen).</w:t>
      </w:r>
    </w:p>
    <w:p>
      <w:pPr>
        <w:pStyle w:val="ListParagraph"/>
        <w:numPr>
          <w:ilvl w:val="0"/>
          <w:numId w:val="2"/>
        </w:numPr>
        <w:spacing w:after="130" w:line="300"/>
      </w:pPr>
      <w:r>
        <w:rPr>
          <w:rFonts w:ascii="Arial" w:cs="Arial" w:eastAsia="Arial" w:hAnsi="Arial"/>
          <w:b/>
          <w:bCs/>
          <w:color w:val="141414"/>
          <w:sz w:val="19"/>
          <w:szCs w:val="19"/>
        </w:rPr>
        <w:t xml:space="preserve">Gesellschaft &amp; IP (Zusagen zum Closing):</w:t>
      </w:r>
      <w:r>
        <w:rPr>
          <w:rFonts w:ascii="Arial" w:cs="Arial" w:eastAsia="Arial" w:hAnsi="Arial"/>
          <w:color w:val="141414"/>
          <w:sz w:val="19"/>
          <w:szCs w:val="19"/>
        </w:rPr>
        <w:t xml:space="preserve"> Gesellschaftsform wird zum Closing final aufgesetzt; sämtliches IP geht auf die Gesellschaft über; die Gründer akzeptieren marktübliches 4-Jahres-Vesting; keine Verbindlichkeiten; heute vollständig im Eigentum des Gründerteams (Aufteilung wird zum Closing dokumentiert).</w:t>
      </w:r>
    </w:p>
    <w:p>
      <w:pPr>
        <w:spacing w:after="190" w:line="318"/>
      </w:pPr>
      <w:r>
        <w:rPr>
          <w:rFonts w:ascii="Arial" w:cs="Arial" w:eastAsia="Arial" w:hAnsi="Arial"/>
          <w:color w:val="141414"/>
          <w:sz w:val="19"/>
          <w:szCs w:val="19"/>
        </w:rPr>
        <w:t xml:space="preserve">Die 500 T€ sind aus dem Modell abgeleitet: rund das 1,6-Fache des konservativen Spitzenbedarfs, der Rest kauft ausdrücklich das Beschleunigungs-Delta (+~0,8 Mio. € ARR Ende 2028 gegenüber eigenfinanziert). Instrument und Bewertung sind Verhandlungssache; der Plan funktioniert zu marktüblichen Seed-Konditionen.</w:t>
      </w:r>
    </w:p>
    <w:p>
      <w:pPr>
        <w:spacing w:after="70" w:before="420"/>
      </w:pPr>
      <w:r>
        <w:rPr>
          <w:rFonts w:ascii="Courier New" w:cs="Courier New" w:eastAsia="Courier New" w:hAnsi="Courier New"/>
          <w:color w:val="C9554D"/>
          <w:sz w:val="16"/>
          <w:szCs w:val="16"/>
        </w:rPr>
        <w:t xml:space="preserve">ABSCHNITT 12</w:t>
      </w:r>
    </w:p>
    <w:p>
      <w:pPr>
        <w:pStyle w:val="Heading1"/>
        <w:spacing w:after="90"/>
      </w:pPr>
      <w:r>
        <w:rPr>
          <w:rFonts w:ascii="Arial" w:cs="Arial" w:eastAsia="Arial" w:hAnsi="Arial"/>
          <w:b/>
          <w:bCs/>
          <w:color w:val="141414"/>
          <w:sz w:val="36"/>
          <w:szCs w:val="36"/>
        </w:rPr>
        <w:t xml:space="preserve">Risiken &amp; Gegenmaßnahmen</w:t>
      </w:r>
    </w:p>
    <w:p>
      <w:pPr>
        <w:pBdr>
          <w:bottom w:val="single" w:color="8E2222" w:sz="8"/>
        </w:pBdr>
        <w:spacing w:after="230"/>
      </w:pPr>
      <w:r>
        <w:rPr>
          <w:rFonts w:ascii="Arial" w:cs="Arial" w:eastAsia="Arial" w:hAnsi="Arial"/>
          <w:i/>
          <w:iCs/>
          <w:color w:val="5A5A5A"/>
          <w:sz w:val="20"/>
          <w:szCs w:val="20"/>
        </w:rPr>
        <w:t xml:space="preserve">Der Plan modelliert seine eigenen Fehlerfälle — auch den, in dem Kunden lieber einen 20-€-Konverter kaufen.</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4049"/>
        <w:gridCol w:w="5591"/>
      </w:tblGrid>
      <w:tr>
        <w:trPr>
          <w:tblHeader/>
        </w:trPr>
        <w:tc>
          <w:tcPr>
            <w:tcW w:type="dxa" w:w="4049"/>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6"/>
                <w:szCs w:val="16"/>
              </w:rPr>
              <w:t xml:space="preserve">Risiko</w:t>
            </w:r>
          </w:p>
        </w:tc>
        <w:tc>
          <w:tcPr>
            <w:tcW w:type="dxa" w:w="5591"/>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6"/>
                <w:szCs w:val="16"/>
              </w:rPr>
              <w:t xml:space="preserve">Gegenmaßnahme</w:t>
            </w:r>
          </w:p>
        </w:tc>
      </w:tr>
      <w:tr>
        <w:tc>
          <w:tcPr>
            <w:tcW w:type="dxa" w:w="404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Kunden erfüllen die E-Rechnungspflicht mit Minimalwerkzeugen (DATEV, Konverter) und bleiben bei Excel</w:t>
            </w:r>
          </w:p>
        </w:tc>
        <w:tc>
          <w:tcPr>
            <w:tcW w:type="dxa" w:w="5591"/>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Eingepreist: Die Pflicht gilt nur als Türöffner; das Verkaufsargument sind Monatsabschluss und gerettete Nachträge — in der Demo auf dem eigenen Projekt des Interessenten gezeigt</w:t>
            </w:r>
          </w:p>
        </w:tc>
      </w:tr>
      <w:tr>
        <w:tc>
          <w:tcPr>
            <w:tcW w:type="dxa" w:w="404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Schlüsselperson: Der Plattform-Code stammt von einem Ingenieur</w:t>
            </w:r>
          </w:p>
        </w:tc>
        <w:tc>
          <w:tcPr>
            <w:tcW w:type="dxa" w:w="5591"/>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Bus-Faktor drei auf Unternehmensebene; auf Code-Ebene Runbooks, Zugangs-Hinterlegung, Schlüsselpersonenversicherung zum Closing, Entwicklung #1 mit Auftrag zur gemeinsamen Code-Verantwortung; 1.465 Tests machen den Code übertragbar</w:t>
            </w:r>
          </w:p>
        </w:tc>
      </w:tr>
      <w:tr>
        <w:tc>
          <w:tcPr>
            <w:tcW w:type="dxa" w:w="404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Vertriebsumsetzung: ~30 Neukunden 2027 mit einem AE</w:t>
            </w:r>
          </w:p>
        </w:tc>
        <w:tc>
          <w:tcPr>
            <w:tcW w:type="dxa" w:w="5591"/>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Funnel offengelegt (40 Leads → 12 Demos → 2,5–3,0 Abschlüsse/Monat); der konservative Fall (0,6× Plan, 2 % Kündigung, verschobene Einstellungen) bleibt innerhalb der Runde</w:t>
            </w:r>
          </w:p>
        </w:tc>
      </w:tr>
      <w:tr>
        <w:tc>
          <w:tcPr>
            <w:tcW w:type="dxa" w:w="404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Kündigungsquote und Preise nicht markterprobt</w:t>
            </w:r>
          </w:p>
        </w:tc>
        <w:tc>
          <w:tcPr>
            <w:tcW w:type="dxa" w:w="5591"/>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Genau dafür existiert die Pilotkohorte — gemessen, bevor Ausgaben skaliert werden; die Quote liegt bereits über dem Entwurf (1,25 % statt 0,75 %)</w:t>
            </w:r>
          </w:p>
        </w:tc>
      </w:tr>
      <w:tr>
        <w:tc>
          <w:tcPr>
            <w:tcW w:type="dxa" w:w="404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Wettbewerbsreaktion (US-Plattformen lokalisieren, ERPs gehen nach unten, Cosuno verbreitert)</w:t>
            </w:r>
          </w:p>
        </w:tc>
        <w:tc>
          <w:tcPr>
            <w:tcW w:type="dxa" w:w="5591"/>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Das ~24-Monats-Fenster ist ehrlich benannt; ein US-Anbieter bräuchte für natives GAEB/VOB/REB/GoBD Jahre, ohne erkennbaren Start; Referenzen und das GoBD-Archiv sind die Bindung, die im Fenster aufgebaut wird</w:t>
            </w:r>
          </w:p>
        </w:tc>
      </w:tr>
      <w:tr>
        <w:tc>
          <w:tcPr>
            <w:tcW w:type="dxa" w:w="404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Regulatorische Fristen verschieben sich</w:t>
            </w:r>
          </w:p>
        </w:tc>
        <w:tc>
          <w:tcPr>
            <w:tcW w:type="dxa" w:w="5591"/>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Zwei der drei Nachfrage-Standbeine (Margendruck, Generationswechsel) sowie GoBD/DSGVO gelten unabhängig vom E-Rechnungs-Kalender</w:t>
            </w:r>
          </w:p>
        </w:tc>
      </w:tr>
      <w:tr>
        <w:tc>
          <w:tcPr>
            <w:tcW w:type="dxa" w:w="404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Echter Abwärtsfall: Piloten konvertieren nicht</w:t>
            </w:r>
          </w:p>
        </w:tc>
        <w:tc>
          <w:tcPr>
            <w:tcW w:type="dxa" w:w="5591"/>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Stop-Loss-Plan: bei 2 Vollzeitkräften halten, Fokus auf die Keilmodule (nur BidX/InrX), die 500 T€ finanzieren dann 30+ Monate Suche nach Product-Market-Fit</w:t>
            </w:r>
          </w:p>
        </w:tc>
      </w:tr>
    </w:tbl>
    <w:p>
      <w:pPr>
        <w:spacing w:after="160"/>
      </w:pPr>
    </w:p>
    <w:p>
      <w:pPr>
        <w:spacing w:after="70" w:before="420"/>
      </w:pPr>
      <w:r>
        <w:rPr>
          <w:rFonts w:ascii="Courier New" w:cs="Courier New" w:eastAsia="Courier New" w:hAnsi="Courier New"/>
          <w:color w:val="C9554D"/>
          <w:sz w:val="16"/>
          <w:szCs w:val="16"/>
        </w:rPr>
        <w:t xml:space="preserve">ABSCHNITT 13</w:t>
      </w:r>
    </w:p>
    <w:p>
      <w:pPr>
        <w:pStyle w:val="Heading1"/>
        <w:spacing w:after="90"/>
      </w:pPr>
      <w:r>
        <w:rPr>
          <w:rFonts w:ascii="Arial" w:cs="Arial" w:eastAsia="Arial" w:hAnsi="Arial"/>
          <w:b/>
          <w:bCs/>
          <w:color w:val="141414"/>
          <w:sz w:val="36"/>
          <w:szCs w:val="36"/>
        </w:rPr>
        <w:t xml:space="preserve">Exit-Perspektive</w:t>
      </w:r>
    </w:p>
    <w:p>
      <w:pPr>
        <w:pBdr>
          <w:bottom w:val="single" w:color="8E2222" w:sz="8"/>
        </w:pBdr>
        <w:spacing w:after="230"/>
      </w:pPr>
      <w:r>
        <w:rPr>
          <w:rFonts w:ascii="Arial" w:cs="Arial" w:eastAsia="Arial" w:hAnsi="Arial"/>
          <w:i/>
          <w:iCs/>
          <w:color w:val="5A5A5A"/>
          <w:sz w:val="20"/>
          <w:szCs w:val="20"/>
        </w:rPr>
        <w:t xml:space="preserve">Deutsche Baurechtstiefe ist genau das, was globale Plattformen kaufen statt bauen.</w:t>
      </w:r>
    </w:p>
    <w:p>
      <w:pPr>
        <w:spacing w:after="190" w:line="318"/>
      </w:pPr>
      <w:r>
        <w:rPr>
          <w:rFonts w:ascii="Arial" w:cs="Arial" w:eastAsia="Arial" w:hAnsi="Arial"/>
          <w:color w:val="141414"/>
          <w:sz w:val="19"/>
          <w:szCs w:val="19"/>
        </w:rPr>
        <w:t xml:space="preserve">Die Kategorie trägt Venture-Ergebnisse: Autodesk zahlte 875 Mio. $ für PlanGrid; Procore (7–8 Mrd. $ Börsenwert) und Autodesk brauchen für DACH deutsche Fachtiefe und haben bisher gekauft statt gebaut; Nemetschek ist Serienkäufer (123erfasst, NEVARIS); RIB ging an Schneider Electric; BRZ wurde 2025 in die Infoniqa-Gruppe konsolidiert. Jüngere Kategorie-Belege: PlanRadars 69-Mio.-$-Series-B, Cosunos ~45 Mio. €, plancrafts &gt;50 Mio. € (benachbartes Handwerkssegment), Ecoworks' 40-Mio.-€-Runde (2026).</w:t>
      </w:r>
    </w:p>
    <w:p>
      <w:pPr>
        <w:spacing w:after="190" w:line="318"/>
      </w:pPr>
      <w:r>
        <w:rPr>
          <w:rFonts w:ascii="Arial" w:cs="Arial" w:eastAsia="Arial" w:hAnsi="Arial"/>
          <w:color w:val="141414"/>
          <w:sz w:val="19"/>
          <w:szCs w:val="19"/>
        </w:rPr>
        <w:t xml:space="preserve">BauLynqs spezifische Käuferlogik: Ein GAEB/VOB/REB-nativer durchgängiger Datensatz mit GoBD-Archiv ist exakt der Baustein, den eine globale Bauplattform für den deutschen Markt braucht und nicht schnell selbst zusammensetzen kann. Der realistische Exit-Korridor bei fokussierter Umsetzung: strategischer Verkauf bei 30–80 Mio. € binnen 5–7 Jahren (2–4× des SAM-implizierten ARR bei 20–30 % Durchdringung und Vertikal-SaaS-Multiples von 5–8× ARR) — ein Korridor von 20–60× auf eine 500-T€-Seed zu Standardkonditionen. Das ist ein Szenario, kein Versprechen — es steht hier, damit die Renditelogik überprüfbar ist.</w:t>
      </w:r>
    </w:p>
    <w:p>
      <w:pPr>
        <w:spacing w:after="70" w:before="420"/>
      </w:pPr>
      <w:r>
        <w:rPr>
          <w:rFonts w:ascii="Courier New" w:cs="Courier New" w:eastAsia="Courier New" w:hAnsi="Courier New"/>
          <w:color w:val="C9554D"/>
          <w:sz w:val="16"/>
          <w:szCs w:val="16"/>
        </w:rPr>
        <w:t xml:space="preserve">ABSCHNITT 14</w:t>
      </w:r>
    </w:p>
    <w:p>
      <w:pPr>
        <w:pStyle w:val="Heading1"/>
        <w:spacing w:after="90"/>
      </w:pPr>
      <w:r>
        <w:rPr>
          <w:rFonts w:ascii="Arial" w:cs="Arial" w:eastAsia="Arial" w:hAnsi="Arial"/>
          <w:b/>
          <w:bCs/>
          <w:color w:val="141414"/>
          <w:sz w:val="36"/>
          <w:szCs w:val="36"/>
        </w:rPr>
        <w:t xml:space="preserve">Daten, Sicherheit &amp; Reporting</w:t>
      </w:r>
    </w:p>
    <w:p>
      <w:pPr>
        <w:pBdr>
          <w:bottom w:val="single" w:color="8E2222" w:sz="8"/>
        </w:pBdr>
        <w:spacing w:after="230"/>
      </w:pPr>
      <w:r>
        <w:rPr>
          <w:rFonts w:ascii="Arial" w:cs="Arial" w:eastAsia="Arial" w:hAnsi="Arial"/>
          <w:i/>
          <w:iCs/>
          <w:color w:val="5A5A5A"/>
          <w:sz w:val="20"/>
          <w:szCs w:val="20"/>
        </w:rPr>
        <w:t xml:space="preserve">Mit Compliance verkauft, mit Compliance betrieben — und monatlich gemessen.</w:t>
      </w:r>
    </w:p>
    <w:p>
      <w:pPr>
        <w:pStyle w:val="ListParagraph"/>
        <w:numPr>
          <w:ilvl w:val="0"/>
          <w:numId w:val="2"/>
        </w:numPr>
        <w:spacing w:after="130" w:line="300"/>
      </w:pPr>
      <w:r>
        <w:rPr>
          <w:rFonts w:ascii="Arial" w:cs="Arial" w:eastAsia="Arial" w:hAnsi="Arial"/>
          <w:b/>
          <w:bCs/>
          <w:color w:val="141414"/>
          <w:sz w:val="19"/>
          <w:szCs w:val="19"/>
        </w:rPr>
        <w:t xml:space="preserve">Hosting &amp; Daten:</w:t>
      </w:r>
      <w:r>
        <w:rPr>
          <w:rFonts w:ascii="Arial" w:cs="Arial" w:eastAsia="Arial" w:hAnsi="Arial"/>
          <w:color w:val="141414"/>
          <w:sz w:val="19"/>
          <w:szCs w:val="19"/>
        </w:rPr>
        <w:t xml:space="preserve"> Azure-EU-Datenzone (Deutschland); Verschlüsselung bei Übertragung und Speicherung; rollenbasierte Zugriffe entlang der AG/AN-Achse; getrennte Datenhaltung je Kunde.</w:t>
      </w:r>
    </w:p>
    <w:p>
      <w:pPr>
        <w:pStyle w:val="ListParagraph"/>
        <w:numPr>
          <w:ilvl w:val="0"/>
          <w:numId w:val="2"/>
        </w:numPr>
        <w:spacing w:after="130" w:line="300"/>
      </w:pPr>
      <w:r>
        <w:rPr>
          <w:rFonts w:ascii="Arial" w:cs="Arial" w:eastAsia="Arial" w:hAnsi="Arial"/>
          <w:b/>
          <w:bCs/>
          <w:color w:val="141414"/>
          <w:sz w:val="19"/>
          <w:szCs w:val="19"/>
        </w:rPr>
        <w:t xml:space="preserve">Compliance-Betrieb:</w:t>
      </w:r>
      <w:r>
        <w:rPr>
          <w:rFonts w:ascii="Arial" w:cs="Arial" w:eastAsia="Arial" w:hAnsi="Arial"/>
          <w:color w:val="141414"/>
          <w:sz w:val="19"/>
          <w:szCs w:val="19"/>
        </w:rPr>
        <w:t xml:space="preserve"> GoBD-Verfahrensdokumentation für das Archiv, AVV-Vorlagen und Unterauftragsverarbeiter-Liste für die Steuerberater der Kunden; DSGVO by Design.</w:t>
      </w:r>
    </w:p>
    <w:p>
      <w:pPr>
        <w:pStyle w:val="ListParagraph"/>
        <w:numPr>
          <w:ilvl w:val="0"/>
          <w:numId w:val="2"/>
        </w:numPr>
        <w:spacing w:after="130" w:line="300"/>
      </w:pPr>
      <w:r>
        <w:rPr>
          <w:rFonts w:ascii="Arial" w:cs="Arial" w:eastAsia="Arial" w:hAnsi="Arial"/>
          <w:b/>
          <w:bCs/>
          <w:color w:val="141414"/>
          <w:sz w:val="19"/>
          <w:szCs w:val="19"/>
        </w:rPr>
        <w:t xml:space="preserve">Sicherheits-Roadmap:</w:t>
      </w:r>
      <w:r>
        <w:rPr>
          <w:rFonts w:ascii="Arial" w:cs="Arial" w:eastAsia="Arial" w:hAnsi="Arial"/>
          <w:color w:val="141414"/>
          <w:sz w:val="19"/>
          <w:szCs w:val="19"/>
        </w:rPr>
        <w:t xml:space="preserve"> externer Penetrationstest und ISO-27001-Zertifizierungspfad für 2027 budgetiert.</w:t>
      </w:r>
    </w:p>
    <w:p>
      <w:pPr>
        <w:pStyle w:val="ListParagraph"/>
        <w:numPr>
          <w:ilvl w:val="0"/>
          <w:numId w:val="2"/>
        </w:numPr>
        <w:spacing w:after="130" w:line="300"/>
      </w:pPr>
      <w:r>
        <w:rPr>
          <w:rFonts w:ascii="Arial" w:cs="Arial" w:eastAsia="Arial" w:hAnsi="Arial"/>
          <w:b/>
          <w:bCs/>
          <w:color w:val="141414"/>
          <w:sz w:val="19"/>
          <w:szCs w:val="19"/>
        </w:rPr>
        <w:t xml:space="preserve">KPI-Reporting an Investoren (monatlich):</w:t>
      </w:r>
      <w:r>
        <w:rPr>
          <w:rFonts w:ascii="Arial" w:cs="Arial" w:eastAsia="Arial" w:hAnsi="Arial"/>
          <w:color w:val="141414"/>
          <w:sz w:val="19"/>
          <w:szCs w:val="19"/>
        </w:rPr>
        <w:t xml:space="preserve"> gehaltene Demos, Pilot-Konversionen, tatsächliche Tage bis Go-live gegen das 21-Tage-Ziel, MRR je Paket, Kunden- und Nettoumsatz-Retention, Brutto-Neukunden gegen Plan, Burn und Reichweite.</w:t>
      </w:r>
    </w:p>
    <w:p>
      <w:pPr>
        <w:spacing w:after="70" w:before="420"/>
      </w:pPr>
      <w:r>
        <w:rPr>
          <w:rFonts w:ascii="Courier New" w:cs="Courier New" w:eastAsia="Courier New" w:hAnsi="Courier New"/>
          <w:color w:val="C9554D"/>
          <w:sz w:val="16"/>
          <w:szCs w:val="16"/>
        </w:rPr>
        <w:t xml:space="preserve">ABSCHNITT 15</w:t>
      </w:r>
    </w:p>
    <w:p>
      <w:pPr>
        <w:pStyle w:val="Heading1"/>
        <w:spacing w:after="90"/>
      </w:pPr>
      <w:r>
        <w:rPr>
          <w:rFonts w:ascii="Arial" w:cs="Arial" w:eastAsia="Arial" w:hAnsi="Arial"/>
          <w:b/>
          <w:bCs/>
          <w:color w:val="141414"/>
          <w:sz w:val="36"/>
          <w:szCs w:val="36"/>
        </w:rPr>
        <w:t xml:space="preserve">Anhang — Quellen &amp; Verifikation</w:t>
      </w:r>
    </w:p>
    <w:p>
      <w:pPr>
        <w:pBdr>
          <w:bottom w:val="single" w:color="8E2222" w:sz="8"/>
        </w:pBdr>
        <w:spacing w:after="230"/>
      </w:pPr>
      <w:r>
        <w:rPr>
          <w:rFonts w:ascii="Arial" w:cs="Arial" w:eastAsia="Arial" w:hAnsi="Arial"/>
          <w:i/>
          <w:iCs/>
          <w:color w:val="5A5A5A"/>
          <w:sz w:val="20"/>
          <w:szCs w:val="20"/>
        </w:rPr>
        <w:t xml:space="preserve">Jede externe Zahl hat eine Quelle; jede interne Zahl hat eine Zelle im Arbeitsbuch.</w:t>
      </w:r>
    </w:p>
    <w:p>
      <w:pPr>
        <w:pStyle w:val="ListParagraph"/>
        <w:numPr>
          <w:ilvl w:val="0"/>
          <w:numId w:val="2"/>
        </w:numPr>
        <w:spacing w:after="130" w:line="300"/>
      </w:pPr>
      <w:r>
        <w:rPr>
          <w:rFonts w:ascii="Arial" w:cs="Arial" w:eastAsia="Arial" w:hAnsi="Arial"/>
          <w:color w:val="141414"/>
          <w:sz w:val="19"/>
          <w:szCs w:val="19"/>
        </w:rPr>
        <w:t xml:space="preserve">Finanzmodell: BauLynq_Financial_Model.xlsx — Monatsmodell, 4 Szenarien, Sensitivitätsraster, Kundenökonomie, Marktgrößenrechnung. Die numerische Quelle der Wahrheit für Abschnitt 9.</w:t>
      </w:r>
    </w:p>
    <w:p>
      <w:pPr>
        <w:pStyle w:val="ListParagraph"/>
        <w:numPr>
          <w:ilvl w:val="0"/>
          <w:numId w:val="2"/>
        </w:numPr>
        <w:spacing w:after="130" w:line="300"/>
      </w:pPr>
      <w:r>
        <w:rPr>
          <w:rFonts w:ascii="Arial" w:cs="Arial" w:eastAsia="Arial" w:hAnsi="Arial"/>
          <w:color w:val="141414"/>
          <w:sz w:val="19"/>
          <w:szCs w:val="19"/>
        </w:rPr>
        <w:t xml:space="preserve">Destatis-Unternehmensregister 2024 (Betriebszahlen, verifiziert am 18.07.2026); DIW-Bauvolumenrechnung — Wochenbericht 1+2/2025 (erstellt im Auftrag des BBSR).</w:t>
      </w:r>
    </w:p>
    <w:p>
      <w:pPr>
        <w:pStyle w:val="ListParagraph"/>
        <w:numPr>
          <w:ilvl w:val="0"/>
          <w:numId w:val="2"/>
        </w:numPr>
        <w:spacing w:after="130" w:line="300"/>
      </w:pPr>
      <w:r>
        <w:rPr>
          <w:rFonts w:ascii="Arial" w:cs="Arial" w:eastAsia="Arial" w:hAnsi="Arial"/>
          <w:color w:val="141414"/>
          <w:sz w:val="19"/>
          <w:szCs w:val="19"/>
        </w:rPr>
        <w:t xml:space="preserve">E-Rechnung: BMF-FAQ — Empfang seit 01.01.2025; Ausstellung ab 01.01.2027 bei &gt; 800 T€ Vorjahresumsatz; ab 01.01.2028 alle inländischen B2B-Umsätze (zweites BMF-Schreiben vom 15.10.2025).</w:t>
      </w:r>
    </w:p>
    <w:p>
      <w:pPr>
        <w:pStyle w:val="ListParagraph"/>
        <w:numPr>
          <w:ilvl w:val="0"/>
          <w:numId w:val="2"/>
        </w:numPr>
        <w:spacing w:after="130" w:line="300"/>
      </w:pPr>
      <w:r>
        <w:rPr>
          <w:rFonts w:ascii="Arial" w:cs="Arial" w:eastAsia="Arial" w:hAnsi="Arial"/>
          <w:color w:val="141414"/>
          <w:sz w:val="19"/>
          <w:szCs w:val="19"/>
        </w:rPr>
        <w:t xml:space="preserve">EU-KI-Verordnung Art. 50: anwendbar ab 02.08.2026; Digital-Omnibus (Mai 2026) beließ Art. 50, Wasserzeichen-Übergangsfrist bis 02.12.2026.</w:t>
      </w:r>
    </w:p>
    <w:p>
      <w:pPr>
        <w:pStyle w:val="ListParagraph"/>
        <w:numPr>
          <w:ilvl w:val="0"/>
          <w:numId w:val="2"/>
        </w:numPr>
        <w:spacing w:after="130" w:line="300"/>
      </w:pPr>
      <w:r>
        <w:rPr>
          <w:rFonts w:ascii="Arial" w:cs="Arial" w:eastAsia="Arial" w:hAnsi="Arial"/>
          <w:color w:val="141414"/>
          <w:sz w:val="19"/>
          <w:szCs w:val="19"/>
        </w:rPr>
        <w:t xml:space="preserve">Wettbewerbsfakten (online nachgeprüft, 18.07.2026): Procore 2025: 1.323 Mio. $ Umsatz / 17.850 Kunden / keine EU-Application-Zone; Autodesk AECO 3.583 Mio. $ (GJ 2026), Deutschland-Residenz nur teilweise; 123erfasst → NEVARIS/Nemetschek; BRZ → Infoniqa (2025); Craftnote → HVD (2024); PlanRadar 69–70 Mio. $ Series B; Capmo unabhängig; Cosuno ~45 Mio. €; plancraft &gt; 50 Mio. € (Mikro-Handwerk); Nemetschek GJ 2025: 1.191 Mio. €.</w:t>
      </w:r>
    </w:p>
    <w:p>
      <w:pPr>
        <w:pStyle w:val="ListParagraph"/>
        <w:numPr>
          <w:ilvl w:val="0"/>
          <w:numId w:val="2"/>
        </w:numPr>
        <w:spacing w:after="130" w:line="300"/>
      </w:pPr>
      <w:r>
        <w:rPr>
          <w:rFonts w:ascii="Arial" w:cs="Arial" w:eastAsia="Arial" w:hAnsi="Arial"/>
          <w:color w:val="141414"/>
          <w:sz w:val="19"/>
          <w:szCs w:val="19"/>
        </w:rPr>
        <w:t xml:space="preserve">Souveränität: Bitkom-Cloud-Reports 2025/2026 (n = 603–604); Delos Cloud; EU-Cloud-Sovereignty-Framework (2025). Champions: DATEV (&gt; 1,5 Mrd. € Umsatz 2024); Personio (~8,5 Mrd. $ Bewertung).</w:t>
      </w:r>
    </w:p>
    <w:p>
      <w:pPr>
        <w:pStyle w:val="ListParagraph"/>
        <w:numPr>
          <w:ilvl w:val="0"/>
          <w:numId w:val="2"/>
        </w:numPr>
        <w:spacing w:after="130" w:line="300"/>
      </w:pPr>
      <w:r>
        <w:rPr>
          <w:rFonts w:ascii="Arial" w:cs="Arial" w:eastAsia="Arial" w:hAnsi="Arial"/>
          <w:color w:val="141414"/>
          <w:sz w:val="19"/>
          <w:szCs w:val="19"/>
        </w:rPr>
        <w:t xml:space="preserve">SaaS-Benchmarks: High Alpha 2024; Tidemark Vertical &amp; SMB SaaS 2025.</w:t>
      </w:r>
    </w:p>
    <w:p>
      <w:pPr>
        <w:pStyle w:val="ListParagraph"/>
        <w:numPr>
          <w:ilvl w:val="0"/>
          <w:numId w:val="2"/>
        </w:numPr>
        <w:spacing w:after="130" w:line="300"/>
      </w:pPr>
      <w:r>
        <w:rPr>
          <w:rFonts w:ascii="Arial" w:cs="Arial" w:eastAsia="Arial" w:hAnsi="Arial"/>
          <w:color w:val="141414"/>
          <w:sz w:val="19"/>
          <w:szCs w:val="19"/>
        </w:rPr>
        <w:t xml:space="preserve">Produktverifikation (03.08.2026): 1.465 [Fact]/[Theory]-Testmethoden; 12 Modulbereiche + Authentifizierung im Frontend-Quellcode; gebaut und lauffähig auf app.baulynq.com.</w:t>
      </w:r>
    </w:p>
    <w:p>
      <w:pPr>
        <w:pStyle w:val="ListParagraph"/>
        <w:numPr>
          <w:ilvl w:val="0"/>
          <w:numId w:val="2"/>
        </w:numPr>
        <w:spacing w:after="130" w:line="300"/>
      </w:pPr>
      <w:r>
        <w:rPr>
          <w:rFonts w:ascii="Arial" w:cs="Arial" w:eastAsia="Arial" w:hAnsi="Arial"/>
          <w:color w:val="141414"/>
          <w:sz w:val="19"/>
          <w:szCs w:val="19"/>
        </w:rPr>
        <w:t xml:space="preserve">Interner Hinweis vor externer Weitergabe: öffentliche Nennung von Salah Alabdallah mit ihm abstimmen (derzeit bei der Deutschen Bahn beschäftigt); Aufteilung der Gründeranteile dokumentieren.</w:t>
      </w:r>
    </w:p>
    <w:sectPr>
      <w:pgSz w:w="11906" w:h="16838" w:orient="portrait"/>
      <w:pgMar w:top="1100" w:right="1080" w:bottom="10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80" w:hanging="21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b677489c511c9f95ce2018df0464edd68510c496.png"/><Relationship Id="rId8" Type="http://schemas.openxmlformats.org/officeDocument/2006/relationships/image" Target="media/c53191789a0c23ae06ff0fe7d210724e0bc930a4.png"/><Relationship Id="rId9" Type="http://schemas.openxmlformats.org/officeDocument/2006/relationships/image" Target="media/aa3cb7ac319e967a48f6ce2196fe2208f24aa349.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BauLynq — Geschäftsplan — Ausgabe für Investoren</dc:title>
  <dc:creator>Un-named</dc:creator>
  <cp:lastModifiedBy>Un-named</cp:lastModifiedBy>
  <cp:revision>1</cp:revision>
  <dcterms:created xsi:type="dcterms:W3CDTF">2026-07-18T21:09:13.460Z</dcterms:created>
  <dcterms:modified xsi:type="dcterms:W3CDTF">2026-07-18T21:09:13.460Z</dcterms:modified>
</cp:coreProperties>
</file>

<file path=docProps/custom.xml><?xml version="1.0" encoding="utf-8"?>
<Properties xmlns="http://schemas.openxmlformats.org/officeDocument/2006/custom-properties" xmlns:vt="http://schemas.openxmlformats.org/officeDocument/2006/docPropsVTypes"/>
</file>